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D521E" w14:textId="2DD29850" w:rsidR="000E6F45" w:rsidRPr="000E6F45" w:rsidRDefault="000E6F45" w:rsidP="000E6F45">
      <w:pPr>
        <w:pStyle w:val="Default"/>
        <w:jc w:val="center"/>
        <w:rPr>
          <w:b/>
          <w:lang w:val="en-AU"/>
        </w:rPr>
      </w:pPr>
      <w:r w:rsidRPr="000E6F45">
        <w:rPr>
          <w:b/>
          <w:lang w:val="en-AU"/>
        </w:rPr>
        <w:t>Family Relationship Centres:</w:t>
      </w:r>
    </w:p>
    <w:p w14:paraId="3EF00D71" w14:textId="071438C5" w:rsidR="00FC3F3F" w:rsidRPr="000E6F45" w:rsidRDefault="000E6F45" w:rsidP="000E6F45">
      <w:pPr>
        <w:pStyle w:val="Default"/>
        <w:jc w:val="center"/>
        <w:rPr>
          <w:b/>
        </w:rPr>
      </w:pPr>
      <w:r w:rsidRPr="000E6F45">
        <w:rPr>
          <w:b/>
          <w:lang w:val="en-AU"/>
        </w:rPr>
        <w:t>A key and (mainly) successful part of Australia’s family law system</w:t>
      </w:r>
    </w:p>
    <w:p w14:paraId="6F0F2D60" w14:textId="77777777" w:rsidR="00C75DA9" w:rsidRDefault="00C75DA9" w:rsidP="000E6F45">
      <w:pPr>
        <w:pStyle w:val="Default"/>
        <w:jc w:val="center"/>
      </w:pPr>
    </w:p>
    <w:p w14:paraId="2EBB9CC8" w14:textId="77777777" w:rsidR="000E6F45" w:rsidRDefault="000E6F45" w:rsidP="000E6F45">
      <w:pPr>
        <w:pStyle w:val="Default"/>
        <w:jc w:val="center"/>
      </w:pPr>
      <w:r>
        <w:t>Lawrie Moloney</w:t>
      </w:r>
    </w:p>
    <w:p w14:paraId="5A4A783E" w14:textId="24BE943E" w:rsidR="000E6F45" w:rsidRDefault="000E6F45" w:rsidP="000E6F45">
      <w:pPr>
        <w:pStyle w:val="Default"/>
        <w:jc w:val="center"/>
      </w:pPr>
      <w:r>
        <w:t>Senior Research Fellow</w:t>
      </w:r>
    </w:p>
    <w:p w14:paraId="14917EAF" w14:textId="75F3CAF8" w:rsidR="000E6F45" w:rsidRDefault="000E6F45" w:rsidP="000E6F45">
      <w:pPr>
        <w:pStyle w:val="Default"/>
        <w:jc w:val="center"/>
      </w:pPr>
      <w:r>
        <w:t>Australian Institute of Family Studies</w:t>
      </w:r>
    </w:p>
    <w:p w14:paraId="1AB95569" w14:textId="77777777" w:rsidR="00C75DA9" w:rsidRDefault="00C75DA9" w:rsidP="000E6F45">
      <w:pPr>
        <w:pStyle w:val="Default"/>
        <w:jc w:val="center"/>
      </w:pPr>
    </w:p>
    <w:p w14:paraId="530E580A" w14:textId="77777777" w:rsidR="00C75DA9" w:rsidRDefault="00C75DA9" w:rsidP="000E6F45">
      <w:pPr>
        <w:pStyle w:val="Default"/>
        <w:jc w:val="center"/>
      </w:pPr>
    </w:p>
    <w:p w14:paraId="685448A1" w14:textId="52010AC7" w:rsidR="00C75DA9" w:rsidRDefault="00C75DA9" w:rsidP="000E6F45">
      <w:pPr>
        <w:pStyle w:val="Default"/>
        <w:jc w:val="center"/>
      </w:pPr>
      <w:r>
        <w:t>Presentation to ESRC Research Seminar</w:t>
      </w:r>
    </w:p>
    <w:p w14:paraId="04732FE5" w14:textId="6F6F3BF0" w:rsidR="00C75DA9" w:rsidRDefault="00C75DA9" w:rsidP="000E6F45">
      <w:pPr>
        <w:pStyle w:val="Default"/>
        <w:jc w:val="center"/>
      </w:pPr>
      <w:r>
        <w:t>Divorce and separation: New models of professional practice to support parents</w:t>
      </w:r>
    </w:p>
    <w:p w14:paraId="0D07630A" w14:textId="628DBAD6" w:rsidR="00C75DA9" w:rsidRDefault="00C75DA9" w:rsidP="000E6F45">
      <w:pPr>
        <w:pStyle w:val="Default"/>
        <w:jc w:val="center"/>
      </w:pPr>
      <w:r>
        <w:t>Held at The Nuffield Foundation, 28 Bedford Sq. London, Dec 7 2015.</w:t>
      </w:r>
    </w:p>
    <w:p w14:paraId="72457E67" w14:textId="77777777" w:rsidR="00C75DA9" w:rsidRDefault="00C75DA9" w:rsidP="000E6F45">
      <w:pPr>
        <w:pStyle w:val="Default"/>
        <w:jc w:val="center"/>
        <w:rPr>
          <w:i/>
        </w:rPr>
      </w:pPr>
    </w:p>
    <w:p w14:paraId="2EE388D4" w14:textId="3A7024DA" w:rsidR="000E6F45" w:rsidRPr="00C75DA9" w:rsidRDefault="00C75DA9" w:rsidP="000E6F45">
      <w:pPr>
        <w:pStyle w:val="Default"/>
        <w:jc w:val="center"/>
        <w:rPr>
          <w:i/>
        </w:rPr>
      </w:pPr>
      <w:r w:rsidRPr="00C75DA9">
        <w:rPr>
          <w:i/>
        </w:rPr>
        <w:t xml:space="preserve">This presentation is accompanied by a series of </w:t>
      </w:r>
      <w:proofErr w:type="spellStart"/>
      <w:proofErr w:type="gramStart"/>
      <w:r w:rsidRPr="00C75DA9">
        <w:rPr>
          <w:i/>
        </w:rPr>
        <w:t>powerpoint</w:t>
      </w:r>
      <w:proofErr w:type="spellEnd"/>
      <w:proofErr w:type="gramEnd"/>
      <w:r w:rsidRPr="00C75DA9">
        <w:rPr>
          <w:i/>
        </w:rPr>
        <w:t xml:space="preserve"> slides with the same heading.</w:t>
      </w:r>
    </w:p>
    <w:p w14:paraId="7B42A1B9" w14:textId="77777777" w:rsidR="00C75DA9" w:rsidRDefault="00C75DA9" w:rsidP="000E6F45">
      <w:pPr>
        <w:pStyle w:val="Default"/>
        <w:jc w:val="center"/>
      </w:pPr>
    </w:p>
    <w:p w14:paraId="464330F1" w14:textId="77777777" w:rsidR="00C75DA9" w:rsidRDefault="00C75DA9" w:rsidP="000E6F45">
      <w:pPr>
        <w:pStyle w:val="Default"/>
        <w:jc w:val="center"/>
      </w:pPr>
    </w:p>
    <w:p w14:paraId="6A04F877" w14:textId="796C32D0" w:rsidR="000E6F45" w:rsidRDefault="000E6F45" w:rsidP="000E6F45">
      <w:pPr>
        <w:pStyle w:val="Default"/>
        <w:jc w:val="center"/>
      </w:pPr>
      <w:r>
        <w:t>Disclaimer</w:t>
      </w:r>
    </w:p>
    <w:p w14:paraId="0C6F7DA6" w14:textId="77777777" w:rsidR="000E6F45" w:rsidRPr="000E6F45" w:rsidRDefault="000E6F45" w:rsidP="000E6F45">
      <w:pPr>
        <w:widowControl w:val="0"/>
        <w:autoSpaceDE w:val="0"/>
        <w:autoSpaceDN w:val="0"/>
        <w:adjustRightInd w:val="0"/>
        <w:rPr>
          <w:rFonts w:ascii="Arial Narrow" w:hAnsi="Arial Narrow" w:cs="Arial Narrow"/>
          <w:color w:val="000000"/>
          <w:lang w:val="en-US"/>
        </w:rPr>
      </w:pPr>
    </w:p>
    <w:p w14:paraId="5BBCEA0F" w14:textId="2C33F3B7" w:rsidR="000E6F45" w:rsidRPr="000E6F45" w:rsidRDefault="000E6F45" w:rsidP="000E6F45">
      <w:pPr>
        <w:pStyle w:val="Default"/>
        <w:jc w:val="center"/>
        <w:rPr>
          <w:sz w:val="22"/>
          <w:szCs w:val="22"/>
        </w:rPr>
      </w:pPr>
      <w:r w:rsidRPr="000E6F45">
        <w:rPr>
          <w:rFonts w:ascii="Arial Narrow" w:hAnsi="Arial Narrow" w:cs="Times New Roman"/>
          <w:color w:val="auto"/>
          <w:sz w:val="22"/>
          <w:szCs w:val="22"/>
        </w:rPr>
        <w:t>The views expressed in this paper are those of the authors and may not reflect the views of the Australian Institute of Family Studies or the Australian Government.</w:t>
      </w:r>
    </w:p>
    <w:p w14:paraId="2CB5AF28" w14:textId="77777777" w:rsidR="000E6F45" w:rsidRPr="004F5D04" w:rsidRDefault="000E6F45" w:rsidP="00886332">
      <w:pPr>
        <w:pStyle w:val="Default"/>
        <w:rPr>
          <w:sz w:val="22"/>
          <w:szCs w:val="22"/>
        </w:rPr>
      </w:pPr>
    </w:p>
    <w:p w14:paraId="1668856A" w14:textId="08689648" w:rsidR="00FC3F3F" w:rsidRPr="004F5D04" w:rsidRDefault="0055539B" w:rsidP="00886332">
      <w:pPr>
        <w:pStyle w:val="Default"/>
        <w:rPr>
          <w:sz w:val="22"/>
          <w:szCs w:val="22"/>
        </w:rPr>
      </w:pPr>
      <w:r>
        <w:rPr>
          <w:sz w:val="22"/>
          <w:szCs w:val="22"/>
        </w:rPr>
        <w:t xml:space="preserve">Good afternoon; and thank you for this invitation to come to London. The theme for today is ‘innovative practice’ and my main focus in this regard will be the 65 Family Relationship </w:t>
      </w:r>
      <w:proofErr w:type="spellStart"/>
      <w:r>
        <w:rPr>
          <w:sz w:val="22"/>
          <w:szCs w:val="22"/>
        </w:rPr>
        <w:t>Centres</w:t>
      </w:r>
      <w:proofErr w:type="spellEnd"/>
      <w:r>
        <w:rPr>
          <w:sz w:val="22"/>
          <w:szCs w:val="22"/>
        </w:rPr>
        <w:t xml:space="preserve"> (FRCs) that were set up as the centerpiece of Australia’s family law reforms in 2006. However I want to </w:t>
      </w:r>
      <w:r w:rsidR="00FC3F3F" w:rsidRPr="004F5D04">
        <w:rPr>
          <w:sz w:val="22"/>
          <w:szCs w:val="22"/>
        </w:rPr>
        <w:t xml:space="preserve">set the scene for this presentation </w:t>
      </w:r>
      <w:r w:rsidR="00357A72" w:rsidRPr="004F5D04">
        <w:rPr>
          <w:sz w:val="22"/>
          <w:szCs w:val="22"/>
        </w:rPr>
        <w:t>by</w:t>
      </w:r>
      <w:r>
        <w:rPr>
          <w:sz w:val="22"/>
          <w:szCs w:val="22"/>
        </w:rPr>
        <w:t xml:space="preserve"> first</w:t>
      </w:r>
      <w:r w:rsidR="00357A72" w:rsidRPr="004F5D04">
        <w:rPr>
          <w:sz w:val="22"/>
          <w:szCs w:val="22"/>
        </w:rPr>
        <w:t xml:space="preserve"> providing</w:t>
      </w:r>
      <w:r w:rsidR="000E6F45" w:rsidRPr="004F5D04">
        <w:rPr>
          <w:sz w:val="22"/>
          <w:szCs w:val="22"/>
        </w:rPr>
        <w:t xml:space="preserve"> two or three minutes of historical context</w:t>
      </w:r>
      <w:r w:rsidR="00FC3F3F" w:rsidRPr="004F5D04">
        <w:rPr>
          <w:sz w:val="22"/>
          <w:szCs w:val="22"/>
        </w:rPr>
        <w:t>.</w:t>
      </w:r>
    </w:p>
    <w:p w14:paraId="33219E9F" w14:textId="77777777" w:rsidR="00FC3F3F" w:rsidRPr="004F5D04" w:rsidRDefault="00FC3F3F" w:rsidP="00886332">
      <w:pPr>
        <w:pStyle w:val="Default"/>
        <w:rPr>
          <w:sz w:val="22"/>
          <w:szCs w:val="22"/>
        </w:rPr>
      </w:pPr>
    </w:p>
    <w:p w14:paraId="56B7460A" w14:textId="343D8113" w:rsidR="00905741" w:rsidRPr="004F5D04" w:rsidRDefault="00886332" w:rsidP="00886332">
      <w:pPr>
        <w:pStyle w:val="Default"/>
        <w:rPr>
          <w:sz w:val="22"/>
          <w:szCs w:val="22"/>
        </w:rPr>
      </w:pPr>
      <w:r w:rsidRPr="004F5D04">
        <w:rPr>
          <w:sz w:val="22"/>
          <w:szCs w:val="22"/>
        </w:rPr>
        <w:t xml:space="preserve">During the optimistic ‘we can do anything’ period </w:t>
      </w:r>
      <w:r w:rsidR="00641C23" w:rsidRPr="004F5D04">
        <w:rPr>
          <w:sz w:val="22"/>
          <w:szCs w:val="22"/>
        </w:rPr>
        <w:t>from</w:t>
      </w:r>
      <w:r w:rsidRPr="004F5D04">
        <w:rPr>
          <w:sz w:val="22"/>
          <w:szCs w:val="22"/>
        </w:rPr>
        <w:t xml:space="preserve"> roughly the mid 1960s </w:t>
      </w:r>
      <w:r w:rsidR="00641C23" w:rsidRPr="004F5D04">
        <w:rPr>
          <w:sz w:val="22"/>
          <w:szCs w:val="22"/>
        </w:rPr>
        <w:t xml:space="preserve">and </w:t>
      </w:r>
      <w:r w:rsidRPr="004F5D04">
        <w:rPr>
          <w:sz w:val="22"/>
          <w:szCs w:val="22"/>
        </w:rPr>
        <w:t>through much of the 1970s, many Western democracies dreamed of</w:t>
      </w:r>
      <w:r w:rsidR="00FC69D4" w:rsidRPr="004F5D04">
        <w:rPr>
          <w:sz w:val="22"/>
          <w:szCs w:val="22"/>
        </w:rPr>
        <w:t xml:space="preserve"> and indeed implemented</w:t>
      </w:r>
      <w:r w:rsidRPr="004F5D04">
        <w:rPr>
          <w:sz w:val="22"/>
          <w:szCs w:val="22"/>
        </w:rPr>
        <w:t xml:space="preserve"> more liberal divorce laws. </w:t>
      </w:r>
      <w:proofErr w:type="gramStart"/>
      <w:r w:rsidRPr="004F5D04">
        <w:rPr>
          <w:sz w:val="22"/>
          <w:szCs w:val="22"/>
        </w:rPr>
        <w:t xml:space="preserve">Australia’s dream was led by a </w:t>
      </w:r>
      <w:proofErr w:type="spellStart"/>
      <w:r w:rsidRPr="004F5D04">
        <w:rPr>
          <w:sz w:val="22"/>
          <w:szCs w:val="22"/>
        </w:rPr>
        <w:t>colourful</w:t>
      </w:r>
      <w:proofErr w:type="spellEnd"/>
      <w:r w:rsidRPr="004F5D04">
        <w:rPr>
          <w:sz w:val="22"/>
          <w:szCs w:val="22"/>
        </w:rPr>
        <w:t xml:space="preserve"> </w:t>
      </w:r>
      <w:r w:rsidR="00C04DA3" w:rsidRPr="004F5D04">
        <w:rPr>
          <w:sz w:val="22"/>
          <w:szCs w:val="22"/>
        </w:rPr>
        <w:t>Attorney General</w:t>
      </w:r>
      <w:proofErr w:type="gramEnd"/>
      <w:r w:rsidR="00C04DA3" w:rsidRPr="004F5D04">
        <w:rPr>
          <w:sz w:val="22"/>
          <w:szCs w:val="22"/>
        </w:rPr>
        <w:t>, Lionel Murphy</w:t>
      </w:r>
      <w:r w:rsidRPr="004F5D04">
        <w:rPr>
          <w:sz w:val="22"/>
          <w:szCs w:val="22"/>
        </w:rPr>
        <w:t xml:space="preserve"> who amongst other things</w:t>
      </w:r>
      <w:r w:rsidR="00C04DA3" w:rsidRPr="004F5D04">
        <w:rPr>
          <w:sz w:val="22"/>
          <w:szCs w:val="22"/>
        </w:rPr>
        <w:t>,</w:t>
      </w:r>
      <w:r w:rsidRPr="004F5D04">
        <w:rPr>
          <w:sz w:val="22"/>
          <w:szCs w:val="22"/>
        </w:rPr>
        <w:t xml:space="preserve"> </w:t>
      </w:r>
      <w:r w:rsidR="00C04DA3" w:rsidRPr="004F5D04">
        <w:rPr>
          <w:sz w:val="22"/>
          <w:szCs w:val="22"/>
        </w:rPr>
        <w:t>wanted</w:t>
      </w:r>
      <w:r w:rsidRPr="004F5D04">
        <w:rPr>
          <w:sz w:val="22"/>
          <w:szCs w:val="22"/>
        </w:rPr>
        <w:t xml:space="preserve"> to move beyond</w:t>
      </w:r>
      <w:r w:rsidR="00C04DA3" w:rsidRPr="004F5D04">
        <w:rPr>
          <w:sz w:val="22"/>
          <w:szCs w:val="22"/>
        </w:rPr>
        <w:t xml:space="preserve"> what he thought was</w:t>
      </w:r>
      <w:r w:rsidRPr="004F5D04">
        <w:rPr>
          <w:sz w:val="22"/>
          <w:szCs w:val="22"/>
        </w:rPr>
        <w:t xml:space="preserve"> our addiction to ‘the old ecclesiastical garbage’ of fault-focused divorce.</w:t>
      </w:r>
      <w:r w:rsidR="00357A72" w:rsidRPr="004F5D04">
        <w:rPr>
          <w:rStyle w:val="FootnoteReference"/>
          <w:sz w:val="22"/>
          <w:szCs w:val="22"/>
        </w:rPr>
        <w:footnoteReference w:id="1"/>
      </w:r>
      <w:r w:rsidR="00905741" w:rsidRPr="004F5D04">
        <w:rPr>
          <w:sz w:val="22"/>
          <w:szCs w:val="22"/>
        </w:rPr>
        <w:t xml:space="preserve"> </w:t>
      </w:r>
    </w:p>
    <w:p w14:paraId="2E4A8833" w14:textId="77777777" w:rsidR="00905741" w:rsidRPr="004F5D04" w:rsidRDefault="00905741" w:rsidP="00886332">
      <w:pPr>
        <w:pStyle w:val="Default"/>
        <w:rPr>
          <w:sz w:val="22"/>
          <w:szCs w:val="22"/>
        </w:rPr>
      </w:pPr>
    </w:p>
    <w:p w14:paraId="5B97FE35" w14:textId="77777777" w:rsidR="004C7DBD" w:rsidRDefault="00C04DA3" w:rsidP="00886332">
      <w:pPr>
        <w:pStyle w:val="Default"/>
        <w:rPr>
          <w:sz w:val="22"/>
          <w:szCs w:val="22"/>
        </w:rPr>
      </w:pPr>
      <w:r w:rsidRPr="004F5D04">
        <w:rPr>
          <w:sz w:val="22"/>
          <w:szCs w:val="22"/>
        </w:rPr>
        <w:t>W</w:t>
      </w:r>
      <w:r w:rsidR="00905741" w:rsidRPr="004F5D04">
        <w:rPr>
          <w:sz w:val="22"/>
          <w:szCs w:val="22"/>
        </w:rPr>
        <w:t>hen I</w:t>
      </w:r>
      <w:r w:rsidR="00FC3F3F" w:rsidRPr="004F5D04">
        <w:rPr>
          <w:sz w:val="22"/>
          <w:szCs w:val="22"/>
        </w:rPr>
        <w:t xml:space="preserve"> recently</w:t>
      </w:r>
      <w:r w:rsidR="00905741" w:rsidRPr="004F5D04">
        <w:rPr>
          <w:sz w:val="22"/>
          <w:szCs w:val="22"/>
        </w:rPr>
        <w:t xml:space="preserve"> </w:t>
      </w:r>
      <w:r w:rsidRPr="004F5D04">
        <w:rPr>
          <w:sz w:val="22"/>
          <w:szCs w:val="22"/>
        </w:rPr>
        <w:t>examined</w:t>
      </w:r>
      <w:r w:rsidR="00905741" w:rsidRPr="004F5D04">
        <w:rPr>
          <w:sz w:val="22"/>
          <w:szCs w:val="22"/>
        </w:rPr>
        <w:t xml:space="preserve"> the parliamentary debates into divorce law reform </w:t>
      </w:r>
      <w:r w:rsidRPr="004F5D04">
        <w:rPr>
          <w:sz w:val="22"/>
          <w:szCs w:val="22"/>
        </w:rPr>
        <w:t>in the early 1970s (see Moloney 2014),</w:t>
      </w:r>
      <w:r w:rsidR="00905741" w:rsidRPr="004F5D04">
        <w:rPr>
          <w:sz w:val="22"/>
          <w:szCs w:val="22"/>
        </w:rPr>
        <w:t xml:space="preserve"> </w:t>
      </w:r>
      <w:r w:rsidRPr="004F5D04">
        <w:rPr>
          <w:sz w:val="22"/>
          <w:szCs w:val="22"/>
        </w:rPr>
        <w:t>i</w:t>
      </w:r>
      <w:r w:rsidR="00905741" w:rsidRPr="004F5D04">
        <w:rPr>
          <w:sz w:val="22"/>
          <w:szCs w:val="22"/>
        </w:rPr>
        <w:t>t became clear that like many other divorce law reformers at the time, Murphy believed that not only was fault in marriage an outmoded concept, but that most</w:t>
      </w:r>
      <w:r w:rsidRPr="004F5D04">
        <w:rPr>
          <w:sz w:val="22"/>
          <w:szCs w:val="22"/>
        </w:rPr>
        <w:t xml:space="preserve"> post separation</w:t>
      </w:r>
      <w:r w:rsidR="00905741" w:rsidRPr="004F5D04">
        <w:rPr>
          <w:sz w:val="22"/>
          <w:szCs w:val="22"/>
        </w:rPr>
        <w:t xml:space="preserve"> disputes over children at that time were </w:t>
      </w:r>
      <w:r w:rsidR="00905741" w:rsidRPr="004F5D04">
        <w:rPr>
          <w:i/>
          <w:sz w:val="22"/>
          <w:szCs w:val="22"/>
        </w:rPr>
        <w:t>caused</w:t>
      </w:r>
      <w:r w:rsidR="00905741" w:rsidRPr="004F5D04">
        <w:rPr>
          <w:sz w:val="22"/>
          <w:szCs w:val="22"/>
        </w:rPr>
        <w:t xml:space="preserve"> by adversarial processes that </w:t>
      </w:r>
      <w:r w:rsidRPr="004F5D04">
        <w:rPr>
          <w:sz w:val="22"/>
          <w:szCs w:val="22"/>
        </w:rPr>
        <w:t xml:space="preserve">were in turn, </w:t>
      </w:r>
      <w:r w:rsidR="0055539B">
        <w:rPr>
          <w:sz w:val="22"/>
          <w:szCs w:val="22"/>
        </w:rPr>
        <w:t>the law’s default methodology for determining which parent was the more blameworthy</w:t>
      </w:r>
      <w:r w:rsidR="00905741" w:rsidRPr="004F5D04">
        <w:rPr>
          <w:sz w:val="22"/>
          <w:szCs w:val="22"/>
        </w:rPr>
        <w:t xml:space="preserve">. </w:t>
      </w:r>
    </w:p>
    <w:p w14:paraId="2BE72885" w14:textId="77777777" w:rsidR="004C7DBD" w:rsidRDefault="004C7DBD" w:rsidP="00886332">
      <w:pPr>
        <w:pStyle w:val="Default"/>
        <w:rPr>
          <w:sz w:val="22"/>
          <w:szCs w:val="22"/>
        </w:rPr>
      </w:pPr>
    </w:p>
    <w:p w14:paraId="7C5A0DD8" w14:textId="4891F72F" w:rsidR="00886332" w:rsidRPr="004F5D04" w:rsidRDefault="00641C23" w:rsidP="00886332">
      <w:pPr>
        <w:pStyle w:val="Default"/>
        <w:rPr>
          <w:sz w:val="22"/>
          <w:szCs w:val="22"/>
        </w:rPr>
      </w:pPr>
      <w:r w:rsidRPr="004F5D04">
        <w:rPr>
          <w:sz w:val="22"/>
          <w:szCs w:val="22"/>
        </w:rPr>
        <w:t xml:space="preserve">Though they had no data to support their beliefs </w:t>
      </w:r>
      <w:r w:rsidR="00905741" w:rsidRPr="004F5D04">
        <w:rPr>
          <w:sz w:val="22"/>
          <w:szCs w:val="22"/>
        </w:rPr>
        <w:t xml:space="preserve">Murphy and many of his supporters </w:t>
      </w:r>
      <w:r w:rsidRPr="004F5D04">
        <w:rPr>
          <w:sz w:val="22"/>
          <w:szCs w:val="22"/>
        </w:rPr>
        <w:t>argued</w:t>
      </w:r>
      <w:r w:rsidR="00905741" w:rsidRPr="004F5D04">
        <w:rPr>
          <w:sz w:val="22"/>
          <w:szCs w:val="22"/>
        </w:rPr>
        <w:t xml:space="preserve"> that </w:t>
      </w:r>
      <w:r w:rsidR="0055539B">
        <w:rPr>
          <w:sz w:val="22"/>
          <w:szCs w:val="22"/>
        </w:rPr>
        <w:t>if</w:t>
      </w:r>
      <w:r w:rsidR="00905741" w:rsidRPr="004F5D04">
        <w:rPr>
          <w:sz w:val="22"/>
          <w:szCs w:val="22"/>
        </w:rPr>
        <w:t xml:space="preserve"> we took fault out of the equation, there would be a significant reduction in </w:t>
      </w:r>
      <w:r w:rsidR="00626E08" w:rsidRPr="004F5D04">
        <w:rPr>
          <w:sz w:val="22"/>
          <w:szCs w:val="22"/>
        </w:rPr>
        <w:t xml:space="preserve">– perhaps even an </w:t>
      </w:r>
      <w:r w:rsidR="00905741" w:rsidRPr="004F5D04">
        <w:rPr>
          <w:sz w:val="22"/>
          <w:szCs w:val="22"/>
        </w:rPr>
        <w:t>elimination of s</w:t>
      </w:r>
      <w:r w:rsidR="00626E08" w:rsidRPr="004F5D04">
        <w:rPr>
          <w:sz w:val="22"/>
          <w:szCs w:val="22"/>
        </w:rPr>
        <w:t>eparation-related conflict –</w:t>
      </w:r>
      <w:r w:rsidR="00905741" w:rsidRPr="004F5D04">
        <w:rPr>
          <w:sz w:val="22"/>
          <w:szCs w:val="22"/>
        </w:rPr>
        <w:t xml:space="preserve"> especially conflict over children. There isn’t time to</w:t>
      </w:r>
      <w:r w:rsidR="004F5D04" w:rsidRPr="004F5D04">
        <w:rPr>
          <w:sz w:val="22"/>
          <w:szCs w:val="22"/>
        </w:rPr>
        <w:t>day to</w:t>
      </w:r>
      <w:r w:rsidR="00905741" w:rsidRPr="004F5D04">
        <w:rPr>
          <w:sz w:val="22"/>
          <w:szCs w:val="22"/>
        </w:rPr>
        <w:t xml:space="preserve"> tease out this argument</w:t>
      </w:r>
      <w:r w:rsidR="004C7DBD">
        <w:rPr>
          <w:sz w:val="22"/>
          <w:szCs w:val="22"/>
        </w:rPr>
        <w:t xml:space="preserve">. It </w:t>
      </w:r>
      <w:r w:rsidR="00AD2FB0">
        <w:rPr>
          <w:sz w:val="22"/>
          <w:szCs w:val="22"/>
        </w:rPr>
        <w:t>has been well covered by my old friend and colleague, Henry Finlay (see Finlay 2005)</w:t>
      </w:r>
      <w:r w:rsidR="00905741" w:rsidRPr="004F5D04">
        <w:rPr>
          <w:sz w:val="22"/>
          <w:szCs w:val="22"/>
        </w:rPr>
        <w:t xml:space="preserve">. </w:t>
      </w:r>
      <w:r w:rsidR="00AD2FB0">
        <w:rPr>
          <w:sz w:val="22"/>
          <w:szCs w:val="22"/>
        </w:rPr>
        <w:t>In any case, the</w:t>
      </w:r>
      <w:r w:rsidR="00905741" w:rsidRPr="004F5D04">
        <w:rPr>
          <w:sz w:val="22"/>
          <w:szCs w:val="22"/>
        </w:rPr>
        <w:t xml:space="preserve"> press release from the Attorney General’</w:t>
      </w:r>
      <w:r w:rsidR="000849EB" w:rsidRPr="004F5D04">
        <w:rPr>
          <w:sz w:val="22"/>
          <w:szCs w:val="22"/>
        </w:rPr>
        <w:t>s Department at the launching of</w:t>
      </w:r>
      <w:r w:rsidR="00905741" w:rsidRPr="004F5D04">
        <w:rPr>
          <w:sz w:val="22"/>
          <w:szCs w:val="22"/>
        </w:rPr>
        <w:t xml:space="preserve"> the Family Court</w:t>
      </w:r>
      <w:r w:rsidR="00FC3F3F" w:rsidRPr="004F5D04">
        <w:rPr>
          <w:sz w:val="22"/>
          <w:szCs w:val="22"/>
        </w:rPr>
        <w:t xml:space="preserve"> of Australia</w:t>
      </w:r>
      <w:r w:rsidR="00905741" w:rsidRPr="004F5D04">
        <w:rPr>
          <w:sz w:val="22"/>
          <w:szCs w:val="22"/>
        </w:rPr>
        <w:t xml:space="preserve"> in 1975 capture</w:t>
      </w:r>
      <w:r w:rsidR="004C7DBD">
        <w:rPr>
          <w:sz w:val="22"/>
          <w:szCs w:val="22"/>
        </w:rPr>
        <w:t>d the prevailing zeitgeist</w:t>
      </w:r>
      <w:r w:rsidR="00905741" w:rsidRPr="004F5D04">
        <w:rPr>
          <w:sz w:val="22"/>
          <w:szCs w:val="22"/>
        </w:rPr>
        <w:t xml:space="preserve"> </w:t>
      </w:r>
      <w:r w:rsidR="004C7DBD">
        <w:rPr>
          <w:sz w:val="22"/>
          <w:szCs w:val="22"/>
        </w:rPr>
        <w:t>when it</w:t>
      </w:r>
      <w:r w:rsidR="00886332" w:rsidRPr="004F5D04">
        <w:rPr>
          <w:sz w:val="22"/>
          <w:szCs w:val="22"/>
        </w:rPr>
        <w:t xml:space="preserve"> spoke of the new legislation as:</w:t>
      </w:r>
    </w:p>
    <w:p w14:paraId="25D22383" w14:textId="0008464E" w:rsidR="00886332" w:rsidRDefault="00886332" w:rsidP="00886332">
      <w:pPr>
        <w:pStyle w:val="Default"/>
        <w:ind w:left="720"/>
        <w:rPr>
          <w:sz w:val="22"/>
          <w:szCs w:val="22"/>
        </w:rPr>
      </w:pPr>
      <w:proofErr w:type="gramStart"/>
      <w:r w:rsidRPr="00042F8E">
        <w:rPr>
          <w:color w:val="auto"/>
          <w:sz w:val="22"/>
          <w:szCs w:val="22"/>
        </w:rPr>
        <w:t>sweeping</w:t>
      </w:r>
      <w:proofErr w:type="gramEnd"/>
      <w:r w:rsidRPr="00042F8E">
        <w:rPr>
          <w:color w:val="auto"/>
          <w:sz w:val="22"/>
          <w:szCs w:val="22"/>
        </w:rPr>
        <w:t xml:space="preserve"> away the laws and procedures of the past and providing a new era of calmness and rationality, presided over by specialist judges assisted by experts and which would introduce speedy</w:t>
      </w:r>
      <w:r w:rsidRPr="00833CBB">
        <w:rPr>
          <w:color w:val="auto"/>
          <w:sz w:val="22"/>
          <w:szCs w:val="22"/>
        </w:rPr>
        <w:t xml:space="preserve">, </w:t>
      </w:r>
      <w:r w:rsidRPr="00833CBB">
        <w:rPr>
          <w:sz w:val="22"/>
          <w:szCs w:val="22"/>
        </w:rPr>
        <w:t>less expensive</w:t>
      </w:r>
      <w:r w:rsidR="00AD2FB0">
        <w:rPr>
          <w:sz w:val="22"/>
          <w:szCs w:val="22"/>
        </w:rPr>
        <w:t xml:space="preserve"> and less formal procedures. (</w:t>
      </w:r>
      <w:proofErr w:type="gramStart"/>
      <w:r w:rsidRPr="00833CBB">
        <w:rPr>
          <w:sz w:val="22"/>
          <w:szCs w:val="22"/>
        </w:rPr>
        <w:t>cited</w:t>
      </w:r>
      <w:proofErr w:type="gramEnd"/>
      <w:r w:rsidRPr="00833CBB">
        <w:rPr>
          <w:sz w:val="22"/>
          <w:szCs w:val="22"/>
        </w:rPr>
        <w:t xml:space="preserve"> in Fogarty, 2006, p. 4)</w:t>
      </w:r>
      <w:r w:rsidR="00626E08">
        <w:rPr>
          <w:sz w:val="22"/>
          <w:szCs w:val="22"/>
        </w:rPr>
        <w:t>.</w:t>
      </w:r>
    </w:p>
    <w:p w14:paraId="4EF53F0C" w14:textId="77777777" w:rsidR="00626E08" w:rsidRDefault="00626E08" w:rsidP="00626E08">
      <w:pPr>
        <w:pStyle w:val="Default"/>
        <w:rPr>
          <w:sz w:val="22"/>
          <w:szCs w:val="22"/>
        </w:rPr>
      </w:pPr>
    </w:p>
    <w:p w14:paraId="45417AC2" w14:textId="68BD4C1E" w:rsidR="006F2085" w:rsidRDefault="00FC3F3F" w:rsidP="00626E08">
      <w:pPr>
        <w:pStyle w:val="Default"/>
        <w:rPr>
          <w:sz w:val="22"/>
          <w:szCs w:val="22"/>
        </w:rPr>
      </w:pPr>
      <w:r>
        <w:rPr>
          <w:sz w:val="22"/>
          <w:szCs w:val="22"/>
        </w:rPr>
        <w:t xml:space="preserve">In retrospect, we can see that our parliamentary debates on the need for divorce reform in the early 1970s sprang more from hope and ideology than from any </w:t>
      </w:r>
      <w:proofErr w:type="gramStart"/>
      <w:r>
        <w:rPr>
          <w:sz w:val="22"/>
          <w:szCs w:val="22"/>
        </w:rPr>
        <w:t>empirically-based</w:t>
      </w:r>
      <w:proofErr w:type="gramEnd"/>
      <w:r>
        <w:rPr>
          <w:sz w:val="22"/>
          <w:szCs w:val="22"/>
        </w:rPr>
        <w:t xml:space="preserve"> knowledge of </w:t>
      </w:r>
      <w:r>
        <w:rPr>
          <w:sz w:val="22"/>
          <w:szCs w:val="22"/>
        </w:rPr>
        <w:lastRenderedPageBreak/>
        <w:t>what was really going on</w:t>
      </w:r>
      <w:r w:rsidR="00C46D64">
        <w:rPr>
          <w:sz w:val="22"/>
          <w:szCs w:val="22"/>
        </w:rPr>
        <w:t xml:space="preserve"> in families at the time</w:t>
      </w:r>
      <w:r>
        <w:rPr>
          <w:sz w:val="22"/>
          <w:szCs w:val="22"/>
        </w:rPr>
        <w:t xml:space="preserve">. </w:t>
      </w:r>
    </w:p>
    <w:p w14:paraId="6F1E835F" w14:textId="77777777" w:rsidR="006F2085" w:rsidRDefault="006F2085" w:rsidP="00626E08">
      <w:pPr>
        <w:pStyle w:val="Default"/>
        <w:rPr>
          <w:sz w:val="22"/>
          <w:szCs w:val="22"/>
        </w:rPr>
      </w:pPr>
    </w:p>
    <w:p w14:paraId="70C63A12" w14:textId="76EA199B" w:rsidR="00F23ECE" w:rsidRDefault="00F23ECE" w:rsidP="00626E08">
      <w:pPr>
        <w:pStyle w:val="Default"/>
        <w:rPr>
          <w:sz w:val="22"/>
          <w:szCs w:val="22"/>
        </w:rPr>
      </w:pPr>
      <w:r>
        <w:rPr>
          <w:sz w:val="22"/>
          <w:szCs w:val="22"/>
        </w:rPr>
        <w:t>But h</w:t>
      </w:r>
      <w:r w:rsidR="006F2085">
        <w:rPr>
          <w:sz w:val="22"/>
          <w:szCs w:val="22"/>
        </w:rPr>
        <w:t xml:space="preserve">ow close </w:t>
      </w:r>
      <w:r w:rsidR="00EF4161">
        <w:rPr>
          <w:sz w:val="22"/>
          <w:szCs w:val="22"/>
        </w:rPr>
        <w:t>did</w:t>
      </w:r>
      <w:r w:rsidR="006F2085">
        <w:rPr>
          <w:sz w:val="22"/>
          <w:szCs w:val="22"/>
        </w:rPr>
        <w:t xml:space="preserve"> Murphy</w:t>
      </w:r>
      <w:r w:rsidR="00EF4161">
        <w:rPr>
          <w:sz w:val="22"/>
          <w:szCs w:val="22"/>
        </w:rPr>
        <w:t xml:space="preserve"> come</w:t>
      </w:r>
      <w:r w:rsidR="006F2085">
        <w:rPr>
          <w:sz w:val="22"/>
          <w:szCs w:val="22"/>
        </w:rPr>
        <w:t xml:space="preserve"> to reading the </w:t>
      </w:r>
      <w:proofErr w:type="gramStart"/>
      <w:r w:rsidR="006F2085">
        <w:rPr>
          <w:sz w:val="22"/>
          <w:szCs w:val="22"/>
        </w:rPr>
        <w:t>tea leaves</w:t>
      </w:r>
      <w:proofErr w:type="gramEnd"/>
      <w:r w:rsidR="006F2085">
        <w:rPr>
          <w:sz w:val="22"/>
          <w:szCs w:val="22"/>
        </w:rPr>
        <w:t>?</w:t>
      </w:r>
      <w:r>
        <w:rPr>
          <w:sz w:val="22"/>
          <w:szCs w:val="22"/>
        </w:rPr>
        <w:t xml:space="preserve"> And what do we know now that we didn’t know then about the profile of separated Australian</w:t>
      </w:r>
      <w:r w:rsidR="00CB11C4">
        <w:rPr>
          <w:sz w:val="22"/>
          <w:szCs w:val="22"/>
        </w:rPr>
        <w:t>s</w:t>
      </w:r>
      <w:r>
        <w:rPr>
          <w:sz w:val="22"/>
          <w:szCs w:val="22"/>
        </w:rPr>
        <w:t xml:space="preserve"> and </w:t>
      </w:r>
      <w:r w:rsidR="00CB11C4">
        <w:rPr>
          <w:sz w:val="22"/>
          <w:szCs w:val="22"/>
        </w:rPr>
        <w:t>which Australians need</w:t>
      </w:r>
      <w:r>
        <w:rPr>
          <w:sz w:val="22"/>
          <w:szCs w:val="22"/>
        </w:rPr>
        <w:t xml:space="preserve"> what services to help them manage dispute</w:t>
      </w:r>
      <w:r w:rsidR="00CB11C4">
        <w:rPr>
          <w:sz w:val="22"/>
          <w:szCs w:val="22"/>
        </w:rPr>
        <w:t>s</w:t>
      </w:r>
      <w:r>
        <w:rPr>
          <w:sz w:val="22"/>
          <w:szCs w:val="22"/>
        </w:rPr>
        <w:t xml:space="preserve"> over children?</w:t>
      </w:r>
      <w:r w:rsidR="00CB11C4">
        <w:rPr>
          <w:sz w:val="22"/>
          <w:szCs w:val="22"/>
        </w:rPr>
        <w:t xml:space="preserve"> </w:t>
      </w:r>
    </w:p>
    <w:p w14:paraId="00ABDA8C" w14:textId="77777777" w:rsidR="00EF4161" w:rsidRDefault="00EF4161" w:rsidP="00626E08">
      <w:pPr>
        <w:pStyle w:val="Default"/>
        <w:rPr>
          <w:b/>
          <w:sz w:val="22"/>
          <w:szCs w:val="22"/>
        </w:rPr>
      </w:pPr>
    </w:p>
    <w:p w14:paraId="37480B6C" w14:textId="2D2BB42D" w:rsidR="00F23ECE" w:rsidRPr="000849EB" w:rsidRDefault="00EF4161" w:rsidP="00626E08">
      <w:pPr>
        <w:pStyle w:val="Default"/>
        <w:rPr>
          <w:b/>
          <w:sz w:val="22"/>
          <w:szCs w:val="22"/>
        </w:rPr>
      </w:pPr>
      <w:r>
        <w:rPr>
          <w:b/>
          <w:sz w:val="22"/>
          <w:szCs w:val="22"/>
        </w:rPr>
        <w:t>Slide 3</w:t>
      </w:r>
    </w:p>
    <w:p w14:paraId="5A71ABBB" w14:textId="77777777" w:rsidR="000849EB" w:rsidRDefault="000849EB" w:rsidP="00626E08">
      <w:pPr>
        <w:pStyle w:val="Default"/>
        <w:rPr>
          <w:sz w:val="22"/>
          <w:szCs w:val="22"/>
        </w:rPr>
      </w:pPr>
    </w:p>
    <w:p w14:paraId="48F510B3" w14:textId="587DD781" w:rsidR="0038557F" w:rsidRDefault="00BA2865" w:rsidP="00626E08">
      <w:pPr>
        <w:pStyle w:val="Default"/>
        <w:rPr>
          <w:sz w:val="22"/>
          <w:szCs w:val="22"/>
        </w:rPr>
      </w:pPr>
      <w:r>
        <w:rPr>
          <w:sz w:val="22"/>
          <w:szCs w:val="22"/>
        </w:rPr>
        <w:t xml:space="preserve">Courtesy of a generously funded research and evaluation package that was linked to the </w:t>
      </w:r>
      <w:r w:rsidR="00AD2FB0">
        <w:rPr>
          <w:sz w:val="22"/>
          <w:szCs w:val="22"/>
        </w:rPr>
        <w:t xml:space="preserve">2006 </w:t>
      </w:r>
      <w:r>
        <w:rPr>
          <w:sz w:val="22"/>
          <w:szCs w:val="22"/>
        </w:rPr>
        <w:t>Australian Family Law reforms</w:t>
      </w:r>
      <w:r w:rsidR="000849EB">
        <w:rPr>
          <w:sz w:val="22"/>
          <w:szCs w:val="22"/>
        </w:rPr>
        <w:t xml:space="preserve"> (this slide shows the scope of the initial </w:t>
      </w:r>
      <w:proofErr w:type="spellStart"/>
      <w:r w:rsidR="000849EB">
        <w:rPr>
          <w:sz w:val="22"/>
          <w:szCs w:val="22"/>
        </w:rPr>
        <w:t>evaulation</w:t>
      </w:r>
      <w:proofErr w:type="spellEnd"/>
      <w:r w:rsidR="000849EB">
        <w:rPr>
          <w:sz w:val="22"/>
          <w:szCs w:val="22"/>
        </w:rPr>
        <w:t>)</w:t>
      </w:r>
      <w:r>
        <w:rPr>
          <w:sz w:val="22"/>
          <w:szCs w:val="22"/>
        </w:rPr>
        <w:t xml:space="preserve">, we know </w:t>
      </w:r>
      <w:r w:rsidR="00596E6B">
        <w:rPr>
          <w:sz w:val="22"/>
          <w:szCs w:val="22"/>
        </w:rPr>
        <w:t>a considerable amount about separated parents in Australia. We know about the quality of their relationships with each other, what parenting arrangements they make, what pathways they use to make those arrangements, how frequently they change arrangements an</w:t>
      </w:r>
      <w:r w:rsidR="0038557F">
        <w:rPr>
          <w:sz w:val="22"/>
          <w:szCs w:val="22"/>
        </w:rPr>
        <w:t>d</w:t>
      </w:r>
      <w:r w:rsidR="00596E6B">
        <w:rPr>
          <w:sz w:val="22"/>
          <w:szCs w:val="22"/>
        </w:rPr>
        <w:t xml:space="preserve"> so on.</w:t>
      </w:r>
    </w:p>
    <w:p w14:paraId="00FA4698" w14:textId="77777777" w:rsidR="0038557F" w:rsidRDefault="0038557F" w:rsidP="00626E08">
      <w:pPr>
        <w:pStyle w:val="Default"/>
        <w:rPr>
          <w:b/>
          <w:sz w:val="22"/>
          <w:szCs w:val="22"/>
        </w:rPr>
      </w:pPr>
    </w:p>
    <w:p w14:paraId="115A2F2F" w14:textId="05532DD1" w:rsidR="000849EB" w:rsidRDefault="00AD2FB0" w:rsidP="00626E08">
      <w:pPr>
        <w:pStyle w:val="Default"/>
        <w:rPr>
          <w:sz w:val="22"/>
          <w:szCs w:val="22"/>
        </w:rPr>
      </w:pPr>
      <w:r>
        <w:rPr>
          <w:sz w:val="22"/>
          <w:szCs w:val="22"/>
        </w:rPr>
        <w:t>As noted, I’ll be suggesting</w:t>
      </w:r>
      <w:r w:rsidR="00CB11C4">
        <w:rPr>
          <w:sz w:val="22"/>
          <w:szCs w:val="22"/>
        </w:rPr>
        <w:t xml:space="preserve"> that the</w:t>
      </w:r>
      <w:r w:rsidR="0038557F" w:rsidRPr="0038557F">
        <w:rPr>
          <w:sz w:val="22"/>
          <w:szCs w:val="22"/>
        </w:rPr>
        <w:t xml:space="preserve"> 65 Family Relationship </w:t>
      </w:r>
      <w:proofErr w:type="spellStart"/>
      <w:r w:rsidR="0038557F" w:rsidRPr="0038557F">
        <w:rPr>
          <w:sz w:val="22"/>
          <w:szCs w:val="22"/>
        </w:rPr>
        <w:t>Centres</w:t>
      </w:r>
      <w:proofErr w:type="spellEnd"/>
      <w:r w:rsidR="0038557F" w:rsidRPr="0038557F">
        <w:rPr>
          <w:sz w:val="22"/>
          <w:szCs w:val="22"/>
        </w:rPr>
        <w:t xml:space="preserve"> that were set up as a central part of </w:t>
      </w:r>
      <w:r w:rsidR="00C46D64">
        <w:rPr>
          <w:sz w:val="22"/>
          <w:szCs w:val="22"/>
        </w:rPr>
        <w:t>Australia’s</w:t>
      </w:r>
      <w:r w:rsidR="0038557F" w:rsidRPr="0038557F">
        <w:rPr>
          <w:sz w:val="22"/>
          <w:szCs w:val="22"/>
        </w:rPr>
        <w:t xml:space="preserve"> 2006 family law reforms</w:t>
      </w:r>
      <w:r w:rsidR="00CB11C4">
        <w:rPr>
          <w:sz w:val="22"/>
          <w:szCs w:val="22"/>
        </w:rPr>
        <w:t xml:space="preserve"> </w:t>
      </w:r>
      <w:r>
        <w:rPr>
          <w:sz w:val="22"/>
          <w:szCs w:val="22"/>
        </w:rPr>
        <w:t>are a good example of innovative practice</w:t>
      </w:r>
      <w:r w:rsidR="0038557F" w:rsidRPr="0038557F">
        <w:rPr>
          <w:sz w:val="22"/>
          <w:szCs w:val="22"/>
        </w:rPr>
        <w:t xml:space="preserve">.  </w:t>
      </w:r>
      <w:proofErr w:type="gramStart"/>
      <w:r w:rsidR="00FF74BE">
        <w:rPr>
          <w:sz w:val="22"/>
          <w:szCs w:val="22"/>
        </w:rPr>
        <w:t xml:space="preserve">The </w:t>
      </w:r>
      <w:proofErr w:type="spellStart"/>
      <w:r w:rsidR="00FF74BE">
        <w:rPr>
          <w:sz w:val="22"/>
          <w:szCs w:val="22"/>
        </w:rPr>
        <w:t>Centres</w:t>
      </w:r>
      <w:proofErr w:type="spellEnd"/>
      <w:r w:rsidR="00FF74BE">
        <w:rPr>
          <w:sz w:val="22"/>
          <w:szCs w:val="22"/>
        </w:rPr>
        <w:t xml:space="preserve"> </w:t>
      </w:r>
      <w:r w:rsidR="00CB11C4">
        <w:rPr>
          <w:sz w:val="22"/>
          <w:szCs w:val="22"/>
        </w:rPr>
        <w:t>have been</w:t>
      </w:r>
      <w:r w:rsidR="00FF74BE">
        <w:rPr>
          <w:sz w:val="22"/>
          <w:szCs w:val="22"/>
        </w:rPr>
        <w:t xml:space="preserve"> formally audited</w:t>
      </w:r>
      <w:r w:rsidR="00CB11C4">
        <w:rPr>
          <w:sz w:val="22"/>
          <w:szCs w:val="22"/>
        </w:rPr>
        <w:t xml:space="preserve"> by Australia’s Auditor General</w:t>
      </w:r>
      <w:proofErr w:type="gramEnd"/>
      <w:r w:rsidR="008448D7">
        <w:rPr>
          <w:sz w:val="22"/>
          <w:szCs w:val="22"/>
        </w:rPr>
        <w:t xml:space="preserve"> (see Auditor General 2011)</w:t>
      </w:r>
      <w:r w:rsidR="00EF4161">
        <w:rPr>
          <w:sz w:val="22"/>
          <w:szCs w:val="22"/>
        </w:rPr>
        <w:t>. There were a few criticisms but the evaluation was generally positive.</w:t>
      </w:r>
      <w:r w:rsidR="00CB11C4">
        <w:rPr>
          <w:sz w:val="22"/>
          <w:szCs w:val="22"/>
        </w:rPr>
        <w:t xml:space="preserve"> </w:t>
      </w:r>
      <w:r w:rsidR="00EF4161">
        <w:rPr>
          <w:sz w:val="22"/>
          <w:szCs w:val="22"/>
        </w:rPr>
        <w:t>At the end of this presentation y</w:t>
      </w:r>
      <w:r w:rsidR="00807DDA">
        <w:rPr>
          <w:sz w:val="22"/>
          <w:szCs w:val="22"/>
        </w:rPr>
        <w:t>o</w:t>
      </w:r>
      <w:r w:rsidR="008448D7">
        <w:rPr>
          <w:sz w:val="22"/>
          <w:szCs w:val="22"/>
        </w:rPr>
        <w:t>u will find the full</w:t>
      </w:r>
      <w:r w:rsidR="00EF4161">
        <w:rPr>
          <w:sz w:val="22"/>
          <w:szCs w:val="22"/>
        </w:rPr>
        <w:t xml:space="preserve"> re</w:t>
      </w:r>
      <w:r w:rsidR="00807DDA">
        <w:rPr>
          <w:sz w:val="22"/>
          <w:szCs w:val="22"/>
        </w:rPr>
        <w:t>ference to that evaluation. You</w:t>
      </w:r>
      <w:r w:rsidR="00EF4161">
        <w:rPr>
          <w:sz w:val="22"/>
          <w:szCs w:val="22"/>
        </w:rPr>
        <w:t xml:space="preserve"> will also find</w:t>
      </w:r>
      <w:r w:rsidR="00807DDA">
        <w:rPr>
          <w:sz w:val="22"/>
          <w:szCs w:val="22"/>
        </w:rPr>
        <w:t xml:space="preserve"> references to an empirical evaluation of FRCs five years on (</w:t>
      </w:r>
      <w:r w:rsidR="00807DDA">
        <w:rPr>
          <w:sz w:val="22"/>
          <w:szCs w:val="22"/>
          <w:lang w:val="en-AU"/>
        </w:rPr>
        <w:t xml:space="preserve">Moloney, </w:t>
      </w:r>
      <w:proofErr w:type="spellStart"/>
      <w:r w:rsidR="00807DDA">
        <w:rPr>
          <w:sz w:val="22"/>
          <w:szCs w:val="22"/>
          <w:lang w:val="en-AU"/>
        </w:rPr>
        <w:t>Qu</w:t>
      </w:r>
      <w:proofErr w:type="spellEnd"/>
      <w:r w:rsidR="00807DDA">
        <w:rPr>
          <w:sz w:val="22"/>
          <w:szCs w:val="22"/>
          <w:lang w:val="en-AU"/>
        </w:rPr>
        <w:t xml:space="preserve">, Weston &amp; Hand </w:t>
      </w:r>
      <w:r w:rsidR="00807DDA" w:rsidRPr="00807DDA">
        <w:rPr>
          <w:sz w:val="22"/>
          <w:szCs w:val="22"/>
          <w:lang w:val="en-AU"/>
        </w:rPr>
        <w:t>2013)</w:t>
      </w:r>
      <w:r w:rsidR="00DA797A">
        <w:rPr>
          <w:sz w:val="22"/>
          <w:szCs w:val="22"/>
          <w:lang w:val="en-AU"/>
        </w:rPr>
        <w:t>;</w:t>
      </w:r>
      <w:r w:rsidR="00807DDA">
        <w:rPr>
          <w:sz w:val="22"/>
          <w:szCs w:val="22"/>
          <w:lang w:val="en-AU"/>
        </w:rPr>
        <w:t xml:space="preserve"> to an </w:t>
      </w:r>
      <w:r w:rsidR="00DA797A">
        <w:rPr>
          <w:sz w:val="22"/>
          <w:szCs w:val="22"/>
          <w:lang w:val="en-AU"/>
        </w:rPr>
        <w:t xml:space="preserve">account of how </w:t>
      </w:r>
      <w:r w:rsidR="00C46D64">
        <w:rPr>
          <w:sz w:val="22"/>
          <w:szCs w:val="22"/>
          <w:lang w:val="en-AU"/>
        </w:rPr>
        <w:t>Lionel Murphy’s</w:t>
      </w:r>
      <w:r w:rsidR="00DA797A">
        <w:rPr>
          <w:sz w:val="22"/>
          <w:szCs w:val="22"/>
          <w:lang w:val="en-AU"/>
        </w:rPr>
        <w:t xml:space="preserve"> ‘helping court’ concept in 1975 eventually morphed into increasing emphasis on community based services, which in turn culminated in FRCs (Moloney 2013); and to a</w:t>
      </w:r>
      <w:r w:rsidR="008448D7">
        <w:rPr>
          <w:sz w:val="22"/>
          <w:szCs w:val="22"/>
          <w:lang w:val="en-AU"/>
        </w:rPr>
        <w:t>nother historical/</w:t>
      </w:r>
      <w:r w:rsidR="00DA797A">
        <w:rPr>
          <w:sz w:val="22"/>
          <w:szCs w:val="22"/>
          <w:lang w:val="en-AU"/>
        </w:rPr>
        <w:t xml:space="preserve">conceptual piece on FRCs by Parkinson (2013)  </w:t>
      </w:r>
    </w:p>
    <w:p w14:paraId="0B203250" w14:textId="77777777" w:rsidR="000849EB" w:rsidRDefault="000849EB" w:rsidP="00626E08">
      <w:pPr>
        <w:pStyle w:val="Default"/>
        <w:rPr>
          <w:b/>
          <w:sz w:val="22"/>
          <w:szCs w:val="22"/>
        </w:rPr>
      </w:pPr>
    </w:p>
    <w:p w14:paraId="27C42036" w14:textId="5CE4E679" w:rsidR="000849EB" w:rsidRPr="000849EB" w:rsidRDefault="0095160E" w:rsidP="00626E08">
      <w:pPr>
        <w:pStyle w:val="Default"/>
        <w:rPr>
          <w:b/>
          <w:sz w:val="22"/>
          <w:szCs w:val="22"/>
        </w:rPr>
      </w:pPr>
      <w:r>
        <w:rPr>
          <w:b/>
          <w:sz w:val="22"/>
          <w:szCs w:val="22"/>
        </w:rPr>
        <w:t>S</w:t>
      </w:r>
      <w:r w:rsidR="000849EB">
        <w:rPr>
          <w:b/>
          <w:sz w:val="22"/>
          <w:szCs w:val="22"/>
        </w:rPr>
        <w:t>lide</w:t>
      </w:r>
      <w:r>
        <w:rPr>
          <w:b/>
          <w:sz w:val="22"/>
          <w:szCs w:val="22"/>
        </w:rPr>
        <w:t xml:space="preserve"> 4</w:t>
      </w:r>
    </w:p>
    <w:p w14:paraId="2A1484CC" w14:textId="77777777" w:rsidR="000849EB" w:rsidRDefault="000849EB" w:rsidP="00626E08">
      <w:pPr>
        <w:pStyle w:val="Default"/>
        <w:rPr>
          <w:sz w:val="22"/>
          <w:szCs w:val="22"/>
        </w:rPr>
      </w:pPr>
    </w:p>
    <w:p w14:paraId="7CA9A51D" w14:textId="546A8FA4" w:rsidR="0038557F" w:rsidRDefault="00DA797A" w:rsidP="00626E08">
      <w:pPr>
        <w:pStyle w:val="Default"/>
        <w:rPr>
          <w:sz w:val="22"/>
          <w:szCs w:val="22"/>
        </w:rPr>
      </w:pPr>
      <w:r>
        <w:rPr>
          <w:sz w:val="22"/>
          <w:szCs w:val="22"/>
        </w:rPr>
        <w:t>T</w:t>
      </w:r>
      <w:r w:rsidR="00D64C99">
        <w:rPr>
          <w:sz w:val="22"/>
          <w:szCs w:val="22"/>
        </w:rPr>
        <w:t>oday I’m going to</w:t>
      </w:r>
      <w:r>
        <w:rPr>
          <w:sz w:val="22"/>
          <w:szCs w:val="22"/>
        </w:rPr>
        <w:t xml:space="preserve"> consider the place of FRCs </w:t>
      </w:r>
      <w:r w:rsidR="0095160E">
        <w:rPr>
          <w:sz w:val="22"/>
          <w:szCs w:val="22"/>
        </w:rPr>
        <w:t xml:space="preserve">in terms of </w:t>
      </w:r>
      <w:r w:rsidR="0095160E" w:rsidRPr="008448D7">
        <w:rPr>
          <w:i/>
          <w:sz w:val="22"/>
          <w:szCs w:val="22"/>
        </w:rPr>
        <w:t>some</w:t>
      </w:r>
      <w:r w:rsidR="0095160E">
        <w:rPr>
          <w:sz w:val="22"/>
          <w:szCs w:val="22"/>
        </w:rPr>
        <w:t xml:space="preserve"> of the things we know (there isn’t time for a comprehensive presentation) about</w:t>
      </w:r>
      <w:r w:rsidR="00D64C99">
        <w:rPr>
          <w:sz w:val="22"/>
          <w:szCs w:val="22"/>
        </w:rPr>
        <w:t xml:space="preserve"> </w:t>
      </w:r>
      <w:r w:rsidR="0095160E">
        <w:rPr>
          <w:sz w:val="22"/>
          <w:szCs w:val="22"/>
        </w:rPr>
        <w:t xml:space="preserve">post separation relationships and dispute management pathways. To do this, I’ll </w:t>
      </w:r>
      <w:r w:rsidR="00D64C99">
        <w:rPr>
          <w:sz w:val="22"/>
          <w:szCs w:val="22"/>
        </w:rPr>
        <w:t>be drawing mainly on</w:t>
      </w:r>
      <w:r w:rsidR="00CB11C4">
        <w:rPr>
          <w:sz w:val="22"/>
          <w:szCs w:val="22"/>
        </w:rPr>
        <w:t xml:space="preserve"> the highlighted</w:t>
      </w:r>
      <w:r w:rsidR="00D64C99">
        <w:rPr>
          <w:sz w:val="22"/>
          <w:szCs w:val="22"/>
        </w:rPr>
        <w:t xml:space="preserve"> </w:t>
      </w:r>
      <w:r w:rsidR="000849EB">
        <w:rPr>
          <w:sz w:val="22"/>
          <w:szCs w:val="22"/>
        </w:rPr>
        <w:t xml:space="preserve">studies in this slide that formed part </w:t>
      </w:r>
      <w:r w:rsidR="00D64C99">
        <w:rPr>
          <w:sz w:val="22"/>
          <w:szCs w:val="22"/>
        </w:rPr>
        <w:t xml:space="preserve">of </w:t>
      </w:r>
      <w:r w:rsidR="00CB11C4">
        <w:rPr>
          <w:sz w:val="22"/>
          <w:szCs w:val="22"/>
        </w:rPr>
        <w:t>our 2009</w:t>
      </w:r>
      <w:r w:rsidR="00D64C99">
        <w:rPr>
          <w:sz w:val="22"/>
          <w:szCs w:val="22"/>
        </w:rPr>
        <w:t xml:space="preserve"> evaluation</w:t>
      </w:r>
      <w:r w:rsidR="00CB11C4">
        <w:rPr>
          <w:sz w:val="22"/>
          <w:szCs w:val="22"/>
        </w:rPr>
        <w:t xml:space="preserve"> of the 2006 family law reforms,</w:t>
      </w:r>
      <w:r w:rsidR="00D64C99">
        <w:rPr>
          <w:sz w:val="22"/>
          <w:szCs w:val="22"/>
        </w:rPr>
        <w:t xml:space="preserve"> as well as two follow up waves of th</w:t>
      </w:r>
      <w:r w:rsidR="00CB11C4">
        <w:rPr>
          <w:sz w:val="22"/>
          <w:szCs w:val="22"/>
        </w:rPr>
        <w:t>e study of</w:t>
      </w:r>
      <w:r w:rsidR="00D64C99">
        <w:rPr>
          <w:sz w:val="22"/>
          <w:szCs w:val="22"/>
        </w:rPr>
        <w:t xml:space="preserve"> 10,000 separated parents – known as the Longitudinal Study of Separated Parents</w:t>
      </w:r>
      <w:r w:rsidR="000849EB">
        <w:rPr>
          <w:sz w:val="22"/>
          <w:szCs w:val="22"/>
        </w:rPr>
        <w:t xml:space="preserve"> (LSSF)</w:t>
      </w:r>
      <w:r w:rsidR="00D64C99">
        <w:rPr>
          <w:sz w:val="22"/>
          <w:szCs w:val="22"/>
        </w:rPr>
        <w:t xml:space="preserve"> </w:t>
      </w:r>
    </w:p>
    <w:p w14:paraId="22DA53DD" w14:textId="77777777" w:rsidR="00D64C99" w:rsidRDefault="00D64C99" w:rsidP="00626E08">
      <w:pPr>
        <w:pStyle w:val="Default"/>
        <w:rPr>
          <w:sz w:val="22"/>
          <w:szCs w:val="22"/>
        </w:rPr>
      </w:pPr>
    </w:p>
    <w:p w14:paraId="2CCFF910" w14:textId="29DE9D85" w:rsidR="00D64C99" w:rsidRPr="00D64C99" w:rsidRDefault="00D64C99" w:rsidP="00626E08">
      <w:pPr>
        <w:pStyle w:val="Default"/>
        <w:rPr>
          <w:b/>
          <w:sz w:val="22"/>
          <w:szCs w:val="22"/>
        </w:rPr>
      </w:pPr>
      <w:r>
        <w:rPr>
          <w:b/>
          <w:sz w:val="22"/>
          <w:szCs w:val="22"/>
        </w:rPr>
        <w:t>Slide</w:t>
      </w:r>
      <w:r w:rsidR="0095160E">
        <w:rPr>
          <w:b/>
          <w:sz w:val="22"/>
          <w:szCs w:val="22"/>
        </w:rPr>
        <w:t xml:space="preserve"> 5 </w:t>
      </w:r>
    </w:p>
    <w:p w14:paraId="6F28D9E8" w14:textId="77777777" w:rsidR="00F23ECE" w:rsidRDefault="00F23ECE" w:rsidP="00626E08">
      <w:pPr>
        <w:pStyle w:val="Default"/>
        <w:rPr>
          <w:sz w:val="22"/>
          <w:szCs w:val="22"/>
        </w:rPr>
      </w:pPr>
    </w:p>
    <w:p w14:paraId="6A048288" w14:textId="2D418107" w:rsidR="009614AB" w:rsidRDefault="00641C23" w:rsidP="00626E08">
      <w:pPr>
        <w:pStyle w:val="Default"/>
        <w:rPr>
          <w:sz w:val="22"/>
          <w:szCs w:val="22"/>
          <w:lang w:val="en-AU"/>
        </w:rPr>
      </w:pPr>
      <w:r>
        <w:rPr>
          <w:sz w:val="22"/>
          <w:szCs w:val="22"/>
        </w:rPr>
        <w:t>We</w:t>
      </w:r>
      <w:r w:rsidR="009614AB">
        <w:rPr>
          <w:sz w:val="22"/>
          <w:szCs w:val="22"/>
        </w:rPr>
        <w:t xml:space="preserve"> </w:t>
      </w:r>
      <w:r>
        <w:rPr>
          <w:sz w:val="22"/>
          <w:szCs w:val="22"/>
        </w:rPr>
        <w:t xml:space="preserve">know from </w:t>
      </w:r>
      <w:r w:rsidR="0095160E">
        <w:rPr>
          <w:sz w:val="22"/>
          <w:szCs w:val="22"/>
        </w:rPr>
        <w:t>the LSSF</w:t>
      </w:r>
      <w:r>
        <w:rPr>
          <w:sz w:val="22"/>
          <w:szCs w:val="22"/>
        </w:rPr>
        <w:t xml:space="preserve"> that about two thirds </w:t>
      </w:r>
      <w:r w:rsidR="009614AB">
        <w:rPr>
          <w:sz w:val="22"/>
          <w:szCs w:val="22"/>
        </w:rPr>
        <w:t>of both mothers and fathers</w:t>
      </w:r>
      <w:r>
        <w:rPr>
          <w:sz w:val="22"/>
          <w:szCs w:val="22"/>
        </w:rPr>
        <w:t xml:space="preserve"> </w:t>
      </w:r>
      <w:r w:rsidR="00D64C99">
        <w:rPr>
          <w:sz w:val="22"/>
          <w:szCs w:val="22"/>
        </w:rPr>
        <w:t>said they had</w:t>
      </w:r>
      <w:r>
        <w:rPr>
          <w:sz w:val="22"/>
          <w:szCs w:val="22"/>
        </w:rPr>
        <w:t xml:space="preserve"> a friendly or cooperative relationship</w:t>
      </w:r>
      <w:r w:rsidR="009614AB">
        <w:rPr>
          <w:sz w:val="22"/>
          <w:szCs w:val="22"/>
        </w:rPr>
        <w:t xml:space="preserve"> with each other</w:t>
      </w:r>
      <w:r>
        <w:rPr>
          <w:sz w:val="22"/>
          <w:szCs w:val="22"/>
        </w:rPr>
        <w:t xml:space="preserve"> some 15 months after separating</w:t>
      </w:r>
      <w:r w:rsidR="0070421A">
        <w:rPr>
          <w:sz w:val="22"/>
          <w:szCs w:val="22"/>
        </w:rPr>
        <w:t xml:space="preserve"> (that’s the Wave 1 data in this figure). </w:t>
      </w:r>
      <w:r w:rsidR="006F2085">
        <w:rPr>
          <w:sz w:val="22"/>
          <w:szCs w:val="22"/>
        </w:rPr>
        <w:t>We</w:t>
      </w:r>
      <w:r w:rsidR="0070421A">
        <w:rPr>
          <w:sz w:val="22"/>
          <w:szCs w:val="22"/>
        </w:rPr>
        <w:t xml:space="preserve"> can also see at Wave 1 that </w:t>
      </w:r>
      <w:r w:rsidR="009614AB">
        <w:rPr>
          <w:sz w:val="22"/>
          <w:szCs w:val="22"/>
          <w:lang w:val="en-AU"/>
        </w:rPr>
        <w:t xml:space="preserve">a </w:t>
      </w:r>
      <w:r w:rsidR="000C632B" w:rsidRPr="000C632B">
        <w:rPr>
          <w:sz w:val="22"/>
          <w:szCs w:val="22"/>
          <w:lang w:val="en-AU"/>
        </w:rPr>
        <w:t>little under a fifth</w:t>
      </w:r>
      <w:r w:rsidR="0070421A">
        <w:rPr>
          <w:sz w:val="22"/>
          <w:szCs w:val="22"/>
          <w:lang w:val="en-AU"/>
        </w:rPr>
        <w:t xml:space="preserve"> of mothers and fathers </w:t>
      </w:r>
      <w:r w:rsidR="000C632B" w:rsidRPr="000C632B">
        <w:rPr>
          <w:sz w:val="22"/>
          <w:szCs w:val="22"/>
          <w:lang w:val="en-AU"/>
        </w:rPr>
        <w:t>describe</w:t>
      </w:r>
      <w:r w:rsidR="009614AB">
        <w:rPr>
          <w:sz w:val="22"/>
          <w:szCs w:val="22"/>
          <w:lang w:val="en-AU"/>
        </w:rPr>
        <w:t xml:space="preserve"> their relationship as distant;</w:t>
      </w:r>
      <w:r w:rsidR="000C632B" w:rsidRPr="000C632B">
        <w:rPr>
          <w:sz w:val="22"/>
          <w:szCs w:val="22"/>
          <w:lang w:val="en-AU"/>
        </w:rPr>
        <w:t xml:space="preserve"> and about one in seven </w:t>
      </w:r>
      <w:r w:rsidR="009614AB">
        <w:rPr>
          <w:sz w:val="22"/>
          <w:szCs w:val="22"/>
          <w:lang w:val="en-AU"/>
        </w:rPr>
        <w:t>say they</w:t>
      </w:r>
      <w:r w:rsidR="0070421A">
        <w:rPr>
          <w:sz w:val="22"/>
          <w:szCs w:val="22"/>
          <w:lang w:val="en-AU"/>
        </w:rPr>
        <w:t xml:space="preserve"> are having</w:t>
      </w:r>
      <w:r w:rsidR="000C632B" w:rsidRPr="000C632B">
        <w:rPr>
          <w:sz w:val="22"/>
          <w:szCs w:val="22"/>
          <w:lang w:val="en-AU"/>
        </w:rPr>
        <w:t xml:space="preserve"> lots of </w:t>
      </w:r>
      <w:r w:rsidR="009614AB">
        <w:rPr>
          <w:sz w:val="22"/>
          <w:szCs w:val="22"/>
          <w:lang w:val="en-AU"/>
        </w:rPr>
        <w:t xml:space="preserve">conflict. In addition, almost one in 15 mothers and </w:t>
      </w:r>
      <w:r w:rsidR="009614AB" w:rsidRPr="000C632B">
        <w:rPr>
          <w:sz w:val="22"/>
          <w:szCs w:val="22"/>
          <w:lang w:val="en-AU"/>
        </w:rPr>
        <w:t>roughly on</w:t>
      </w:r>
      <w:r w:rsidR="000849EB">
        <w:rPr>
          <w:sz w:val="22"/>
          <w:szCs w:val="22"/>
          <w:lang w:val="en-AU"/>
        </w:rPr>
        <w:t>e</w:t>
      </w:r>
      <w:r w:rsidR="009614AB" w:rsidRPr="000C632B">
        <w:rPr>
          <w:sz w:val="22"/>
          <w:szCs w:val="22"/>
          <w:lang w:val="en-AU"/>
        </w:rPr>
        <w:t xml:space="preserve"> in 30 fathers</w:t>
      </w:r>
      <w:r w:rsidR="009614AB">
        <w:rPr>
          <w:sz w:val="22"/>
          <w:szCs w:val="22"/>
          <w:lang w:val="en-AU"/>
        </w:rPr>
        <w:t xml:space="preserve">  (a statistically significant difference) describe</w:t>
      </w:r>
      <w:r w:rsidR="000C632B" w:rsidRPr="000C632B">
        <w:rPr>
          <w:sz w:val="22"/>
          <w:szCs w:val="22"/>
          <w:lang w:val="en-AU"/>
        </w:rPr>
        <w:t xml:space="preserve"> their relations</w:t>
      </w:r>
      <w:r w:rsidR="009614AB">
        <w:rPr>
          <w:sz w:val="22"/>
          <w:szCs w:val="22"/>
          <w:lang w:val="en-AU"/>
        </w:rPr>
        <w:t>h</w:t>
      </w:r>
      <w:r w:rsidR="000C632B" w:rsidRPr="000C632B">
        <w:rPr>
          <w:sz w:val="22"/>
          <w:szCs w:val="22"/>
          <w:lang w:val="en-AU"/>
        </w:rPr>
        <w:t>ip a</w:t>
      </w:r>
      <w:r w:rsidR="000849EB">
        <w:rPr>
          <w:sz w:val="22"/>
          <w:szCs w:val="22"/>
          <w:lang w:val="en-AU"/>
        </w:rPr>
        <w:t>s</w:t>
      </w:r>
      <w:r w:rsidR="000C632B" w:rsidRPr="000C632B">
        <w:rPr>
          <w:sz w:val="22"/>
          <w:szCs w:val="22"/>
          <w:lang w:val="en-AU"/>
        </w:rPr>
        <w:t xml:space="preserve"> fearful</w:t>
      </w:r>
      <w:r w:rsidR="009614AB">
        <w:rPr>
          <w:sz w:val="22"/>
          <w:szCs w:val="22"/>
          <w:lang w:val="en-AU"/>
        </w:rPr>
        <w:t>.</w:t>
      </w:r>
    </w:p>
    <w:p w14:paraId="785156CF" w14:textId="77777777" w:rsidR="009614AB" w:rsidRDefault="009614AB" w:rsidP="00626E08">
      <w:pPr>
        <w:pStyle w:val="Default"/>
        <w:rPr>
          <w:sz w:val="22"/>
          <w:szCs w:val="22"/>
          <w:lang w:val="en-AU"/>
        </w:rPr>
      </w:pPr>
    </w:p>
    <w:p w14:paraId="21E5D0CF" w14:textId="44FFB991" w:rsidR="0070421A" w:rsidRDefault="009614AB" w:rsidP="00626E08">
      <w:pPr>
        <w:pStyle w:val="Default"/>
        <w:rPr>
          <w:sz w:val="22"/>
          <w:szCs w:val="22"/>
          <w:lang w:val="en-AU"/>
        </w:rPr>
      </w:pPr>
      <w:r>
        <w:rPr>
          <w:sz w:val="22"/>
          <w:szCs w:val="22"/>
          <w:lang w:val="en-AU"/>
        </w:rPr>
        <w:t xml:space="preserve">Now this </w:t>
      </w:r>
      <w:r w:rsidR="006F2085">
        <w:rPr>
          <w:sz w:val="22"/>
          <w:szCs w:val="22"/>
          <w:lang w:val="en-AU"/>
        </w:rPr>
        <w:t>seems</w:t>
      </w:r>
      <w:r>
        <w:rPr>
          <w:sz w:val="22"/>
          <w:szCs w:val="22"/>
          <w:lang w:val="en-AU"/>
        </w:rPr>
        <w:t xml:space="preserve"> a reasonably hopeful outcome</w:t>
      </w:r>
      <w:r w:rsidR="006F2085">
        <w:rPr>
          <w:sz w:val="22"/>
          <w:szCs w:val="22"/>
          <w:lang w:val="en-AU"/>
        </w:rPr>
        <w:t>. A</w:t>
      </w:r>
      <w:r>
        <w:rPr>
          <w:sz w:val="22"/>
          <w:szCs w:val="22"/>
          <w:lang w:val="en-AU"/>
        </w:rPr>
        <w:t>nd</w:t>
      </w:r>
      <w:r w:rsidR="006F2085">
        <w:rPr>
          <w:sz w:val="22"/>
          <w:szCs w:val="22"/>
          <w:lang w:val="en-AU"/>
        </w:rPr>
        <w:t xml:space="preserve"> intuitively</w:t>
      </w:r>
      <w:r>
        <w:rPr>
          <w:sz w:val="22"/>
          <w:szCs w:val="22"/>
          <w:lang w:val="en-AU"/>
        </w:rPr>
        <w:t xml:space="preserve"> you </w:t>
      </w:r>
      <w:r w:rsidR="006F2085">
        <w:rPr>
          <w:sz w:val="22"/>
          <w:szCs w:val="22"/>
          <w:lang w:val="en-AU"/>
        </w:rPr>
        <w:t>might predict</w:t>
      </w:r>
      <w:r>
        <w:rPr>
          <w:sz w:val="22"/>
          <w:szCs w:val="22"/>
          <w:lang w:val="en-AU"/>
        </w:rPr>
        <w:t xml:space="preserve"> that the </w:t>
      </w:r>
      <w:r w:rsidR="006F2085">
        <w:rPr>
          <w:sz w:val="22"/>
          <w:szCs w:val="22"/>
          <w:lang w:val="en-AU"/>
        </w:rPr>
        <w:t>percentage of poor relationships</w:t>
      </w:r>
      <w:r w:rsidR="0070421A">
        <w:rPr>
          <w:sz w:val="22"/>
          <w:szCs w:val="22"/>
          <w:lang w:val="en-AU"/>
        </w:rPr>
        <w:t xml:space="preserve"> might</w:t>
      </w:r>
      <w:r>
        <w:rPr>
          <w:sz w:val="22"/>
          <w:szCs w:val="22"/>
          <w:lang w:val="en-AU"/>
        </w:rPr>
        <w:t xml:space="preserve"> </w:t>
      </w:r>
      <w:r w:rsidR="006F2085">
        <w:rPr>
          <w:sz w:val="22"/>
          <w:szCs w:val="22"/>
          <w:lang w:val="en-AU"/>
        </w:rPr>
        <w:t>diminish</w:t>
      </w:r>
      <w:r>
        <w:rPr>
          <w:sz w:val="22"/>
          <w:szCs w:val="22"/>
          <w:lang w:val="en-AU"/>
        </w:rPr>
        <w:t xml:space="preserve"> over time. But as we can see, </w:t>
      </w:r>
      <w:r w:rsidR="0070421A">
        <w:rPr>
          <w:sz w:val="22"/>
          <w:szCs w:val="22"/>
          <w:lang w:val="en-AU"/>
        </w:rPr>
        <w:t xml:space="preserve">at Wave 2, which is roughly two years after separation and at Wave 3, roughly 4 years after separation, things have </w:t>
      </w:r>
      <w:r w:rsidR="00875F5D">
        <w:rPr>
          <w:sz w:val="22"/>
          <w:szCs w:val="22"/>
          <w:lang w:val="en-AU"/>
        </w:rPr>
        <w:t xml:space="preserve">not really got better. </w:t>
      </w:r>
    </w:p>
    <w:p w14:paraId="724444E4" w14:textId="77777777" w:rsidR="0070421A" w:rsidRDefault="0070421A" w:rsidP="00626E08">
      <w:pPr>
        <w:pStyle w:val="Default"/>
        <w:rPr>
          <w:sz w:val="22"/>
          <w:szCs w:val="22"/>
          <w:lang w:val="en-AU"/>
        </w:rPr>
      </w:pPr>
    </w:p>
    <w:p w14:paraId="36758533" w14:textId="718991F3" w:rsidR="000849EB" w:rsidRDefault="0095160E" w:rsidP="00FA0364">
      <w:pPr>
        <w:pStyle w:val="Default"/>
        <w:rPr>
          <w:b/>
          <w:sz w:val="22"/>
          <w:szCs w:val="22"/>
          <w:lang w:val="en-AU"/>
        </w:rPr>
      </w:pPr>
      <w:r>
        <w:rPr>
          <w:b/>
          <w:sz w:val="22"/>
          <w:szCs w:val="22"/>
          <w:lang w:val="en-AU"/>
        </w:rPr>
        <w:t>Slide 6</w:t>
      </w:r>
      <w:r w:rsidR="00283A2E">
        <w:rPr>
          <w:b/>
          <w:sz w:val="22"/>
          <w:szCs w:val="22"/>
          <w:lang w:val="en-AU"/>
        </w:rPr>
        <w:t xml:space="preserve"> </w:t>
      </w:r>
    </w:p>
    <w:p w14:paraId="3B69A9D3" w14:textId="77777777" w:rsidR="000849EB" w:rsidRDefault="000849EB" w:rsidP="00FA0364">
      <w:pPr>
        <w:pStyle w:val="Default"/>
        <w:rPr>
          <w:b/>
          <w:sz w:val="22"/>
          <w:szCs w:val="22"/>
          <w:lang w:val="en-AU"/>
        </w:rPr>
      </w:pPr>
    </w:p>
    <w:p w14:paraId="48DF17F2" w14:textId="29D33DE6" w:rsidR="00875F5D" w:rsidRDefault="0095160E" w:rsidP="00FA0364">
      <w:pPr>
        <w:pStyle w:val="Default"/>
        <w:rPr>
          <w:sz w:val="22"/>
          <w:szCs w:val="22"/>
          <w:lang w:val="en-AU"/>
        </w:rPr>
      </w:pPr>
      <w:r>
        <w:rPr>
          <w:sz w:val="22"/>
          <w:szCs w:val="22"/>
          <w:lang w:val="en-AU"/>
        </w:rPr>
        <w:t>W</w:t>
      </w:r>
      <w:r w:rsidR="0070421A">
        <w:rPr>
          <w:sz w:val="22"/>
          <w:szCs w:val="22"/>
          <w:lang w:val="en-AU"/>
        </w:rPr>
        <w:t>e don’t have time to tease out these figures, but</w:t>
      </w:r>
      <w:r w:rsidR="00283A2E">
        <w:rPr>
          <w:sz w:val="22"/>
          <w:szCs w:val="22"/>
          <w:lang w:val="en-AU"/>
        </w:rPr>
        <w:t xml:space="preserve"> in this Table I’d just invite you to focus on the cell that says, ‘Negative in all three waves”. What this analysis tells us is that although at each Wave, a bit under a fifth of parents are highly conflicted or fearful,</w:t>
      </w:r>
      <w:r w:rsidR="008448D7">
        <w:rPr>
          <w:sz w:val="22"/>
          <w:szCs w:val="22"/>
          <w:lang w:val="en-AU"/>
        </w:rPr>
        <w:t xml:space="preserve"> they are not the same parent</w:t>
      </w:r>
      <w:r w:rsidR="00C562D1">
        <w:rPr>
          <w:sz w:val="22"/>
          <w:szCs w:val="22"/>
          <w:lang w:val="en-AU"/>
        </w:rPr>
        <w:t>s at each wave. Indeed</w:t>
      </w:r>
      <w:r w:rsidR="00283A2E">
        <w:rPr>
          <w:sz w:val="22"/>
          <w:szCs w:val="22"/>
          <w:lang w:val="en-AU"/>
        </w:rPr>
        <w:t xml:space="preserve"> only 4% remain</w:t>
      </w:r>
      <w:r w:rsidR="00C562D1">
        <w:rPr>
          <w:sz w:val="22"/>
          <w:szCs w:val="22"/>
          <w:lang w:val="en-AU"/>
        </w:rPr>
        <w:t>ed</w:t>
      </w:r>
      <w:r w:rsidR="00283A2E">
        <w:rPr>
          <w:sz w:val="22"/>
          <w:szCs w:val="22"/>
          <w:lang w:val="en-AU"/>
        </w:rPr>
        <w:t xml:space="preserve"> in this </w:t>
      </w:r>
      <w:r w:rsidR="00D64C99">
        <w:rPr>
          <w:sz w:val="22"/>
          <w:szCs w:val="22"/>
          <w:lang w:val="en-AU"/>
        </w:rPr>
        <w:t>highly conflicted or fearful (that’s what we mean by ‘negative’)</w:t>
      </w:r>
      <w:r w:rsidR="00283A2E">
        <w:rPr>
          <w:sz w:val="22"/>
          <w:szCs w:val="22"/>
          <w:lang w:val="en-AU"/>
        </w:rPr>
        <w:t xml:space="preserve"> over the 4-year period we examined.</w:t>
      </w:r>
      <w:r w:rsidR="00C562D1">
        <w:rPr>
          <w:sz w:val="22"/>
          <w:szCs w:val="22"/>
          <w:lang w:val="en-AU"/>
        </w:rPr>
        <w:t xml:space="preserve"> This by the way is why it’s important to invest in longitudinal studies.</w:t>
      </w:r>
      <w:r w:rsidR="00283A2E">
        <w:rPr>
          <w:sz w:val="22"/>
          <w:szCs w:val="22"/>
          <w:lang w:val="en-AU"/>
        </w:rPr>
        <w:t xml:space="preserve"> </w:t>
      </w:r>
    </w:p>
    <w:p w14:paraId="5C72FEC4" w14:textId="77777777" w:rsidR="00875F5D" w:rsidRDefault="00875F5D" w:rsidP="00FA0364">
      <w:pPr>
        <w:pStyle w:val="Default"/>
        <w:rPr>
          <w:sz w:val="22"/>
          <w:szCs w:val="22"/>
          <w:lang w:val="en-AU"/>
        </w:rPr>
      </w:pPr>
    </w:p>
    <w:p w14:paraId="39DAEB07" w14:textId="01CA002B" w:rsidR="00CA157F" w:rsidRPr="00D76A30" w:rsidRDefault="00604D34" w:rsidP="00FA0364">
      <w:pPr>
        <w:pStyle w:val="Default"/>
        <w:rPr>
          <w:sz w:val="22"/>
          <w:szCs w:val="22"/>
        </w:rPr>
      </w:pPr>
      <w:r>
        <w:rPr>
          <w:sz w:val="22"/>
          <w:szCs w:val="22"/>
        </w:rPr>
        <w:t>In a</w:t>
      </w:r>
      <w:r w:rsidR="00C562D1">
        <w:rPr>
          <w:sz w:val="22"/>
          <w:szCs w:val="22"/>
        </w:rPr>
        <w:t xml:space="preserve">nother longitudinal study – this time </w:t>
      </w:r>
      <w:r>
        <w:rPr>
          <w:sz w:val="22"/>
          <w:szCs w:val="22"/>
        </w:rPr>
        <w:t xml:space="preserve">of ‘high conflict’ cases at 6 months, 12 months and 15 months, </w:t>
      </w:r>
      <w:r w:rsidR="00FA0364" w:rsidRPr="00D76A30">
        <w:rPr>
          <w:sz w:val="22"/>
          <w:szCs w:val="22"/>
        </w:rPr>
        <w:t>Neff and Cooper (2004: 99) estimated that</w:t>
      </w:r>
      <w:r>
        <w:rPr>
          <w:sz w:val="22"/>
          <w:szCs w:val="22"/>
        </w:rPr>
        <w:t xml:space="preserve"> 10% of cases took</w:t>
      </w:r>
      <w:r w:rsidR="00FA0364" w:rsidRPr="00D76A30">
        <w:rPr>
          <w:sz w:val="22"/>
          <w:szCs w:val="22"/>
        </w:rPr>
        <w:t xml:space="preserve"> up 90% of </w:t>
      </w:r>
      <w:r>
        <w:rPr>
          <w:sz w:val="22"/>
          <w:szCs w:val="22"/>
        </w:rPr>
        <w:t xml:space="preserve">the </w:t>
      </w:r>
      <w:r w:rsidR="00FA0364" w:rsidRPr="00D76A30">
        <w:rPr>
          <w:sz w:val="22"/>
          <w:szCs w:val="22"/>
        </w:rPr>
        <w:t>family courts’ and community professionals’ time. I suspect that the 4% that we see in this Table are the families that</w:t>
      </w:r>
      <w:r w:rsidR="001E725F" w:rsidRPr="00D76A30">
        <w:rPr>
          <w:sz w:val="22"/>
          <w:szCs w:val="22"/>
        </w:rPr>
        <w:t xml:space="preserve"> we seriously </w:t>
      </w:r>
      <w:proofErr w:type="spellStart"/>
      <w:r w:rsidR="001E725F" w:rsidRPr="00D76A30">
        <w:rPr>
          <w:sz w:val="22"/>
          <w:szCs w:val="22"/>
        </w:rPr>
        <w:t>agonise</w:t>
      </w:r>
      <w:proofErr w:type="spellEnd"/>
      <w:r w:rsidR="001E725F" w:rsidRPr="00D76A30">
        <w:rPr>
          <w:sz w:val="22"/>
          <w:szCs w:val="22"/>
        </w:rPr>
        <w:t xml:space="preserve"> over, </w:t>
      </w:r>
      <w:r w:rsidR="00D76A30">
        <w:rPr>
          <w:sz w:val="22"/>
          <w:szCs w:val="22"/>
        </w:rPr>
        <w:t>the families</w:t>
      </w:r>
      <w:r w:rsidR="001E725F" w:rsidRPr="00D76A30">
        <w:rPr>
          <w:sz w:val="22"/>
          <w:szCs w:val="22"/>
        </w:rPr>
        <w:t xml:space="preserve"> that</w:t>
      </w:r>
      <w:r w:rsidR="00C562D1">
        <w:rPr>
          <w:sz w:val="22"/>
          <w:szCs w:val="22"/>
        </w:rPr>
        <w:t xml:space="preserve"> take up a significantly </w:t>
      </w:r>
      <w:proofErr w:type="gramStart"/>
      <w:r w:rsidR="00C562D1">
        <w:rPr>
          <w:sz w:val="22"/>
          <w:szCs w:val="22"/>
        </w:rPr>
        <w:t xml:space="preserve">disproportionate </w:t>
      </w:r>
      <w:r w:rsidR="00FA0364" w:rsidRPr="00D76A30">
        <w:rPr>
          <w:sz w:val="22"/>
          <w:szCs w:val="22"/>
        </w:rPr>
        <w:t xml:space="preserve"> </w:t>
      </w:r>
      <w:r w:rsidR="00C562D1">
        <w:rPr>
          <w:sz w:val="22"/>
          <w:szCs w:val="22"/>
        </w:rPr>
        <w:t>amount</w:t>
      </w:r>
      <w:proofErr w:type="gramEnd"/>
      <w:r w:rsidR="00241372">
        <w:rPr>
          <w:sz w:val="22"/>
          <w:szCs w:val="22"/>
        </w:rPr>
        <w:t xml:space="preserve"> of our time as both legal and f</w:t>
      </w:r>
      <w:r w:rsidR="00C562D1">
        <w:rPr>
          <w:sz w:val="22"/>
          <w:szCs w:val="22"/>
        </w:rPr>
        <w:t>amily relationship practitioners</w:t>
      </w:r>
      <w:r w:rsidR="00FA0364" w:rsidRPr="00D76A30">
        <w:rPr>
          <w:sz w:val="22"/>
          <w:szCs w:val="22"/>
        </w:rPr>
        <w:t>. Th</w:t>
      </w:r>
      <w:r w:rsidR="001E725F" w:rsidRPr="00D76A30">
        <w:rPr>
          <w:sz w:val="22"/>
          <w:szCs w:val="22"/>
        </w:rPr>
        <w:t>ough th</w:t>
      </w:r>
      <w:r w:rsidR="00FA0364" w:rsidRPr="00D76A30">
        <w:rPr>
          <w:sz w:val="22"/>
          <w:szCs w:val="22"/>
        </w:rPr>
        <w:t>ey are the families that present with what Janet Johnston and others hav</w:t>
      </w:r>
      <w:r w:rsidR="001E725F" w:rsidRPr="00D76A30">
        <w:rPr>
          <w:sz w:val="22"/>
          <w:szCs w:val="22"/>
        </w:rPr>
        <w:t>e called enduring high conflict, I wonder if</w:t>
      </w:r>
      <w:r w:rsidR="00FA0364" w:rsidRPr="00D76A30">
        <w:rPr>
          <w:sz w:val="22"/>
          <w:szCs w:val="22"/>
        </w:rPr>
        <w:t xml:space="preserve"> </w:t>
      </w:r>
      <w:r w:rsidR="001E725F" w:rsidRPr="00D76A30">
        <w:rPr>
          <w:sz w:val="22"/>
          <w:szCs w:val="22"/>
        </w:rPr>
        <w:t>high</w:t>
      </w:r>
      <w:r w:rsidR="00875F5D" w:rsidRPr="00D76A30">
        <w:rPr>
          <w:sz w:val="22"/>
          <w:szCs w:val="22"/>
        </w:rPr>
        <w:t xml:space="preserve"> conflict</w:t>
      </w:r>
      <w:r w:rsidR="001E725F" w:rsidRPr="00D76A30">
        <w:rPr>
          <w:sz w:val="22"/>
          <w:szCs w:val="22"/>
        </w:rPr>
        <w:t xml:space="preserve"> is</w:t>
      </w:r>
      <w:r w:rsidR="00875F5D" w:rsidRPr="00D76A30">
        <w:rPr>
          <w:sz w:val="22"/>
          <w:szCs w:val="22"/>
        </w:rPr>
        <w:t xml:space="preserve"> the primary consideration here? </w:t>
      </w:r>
      <w:r w:rsidR="00D76A30">
        <w:rPr>
          <w:sz w:val="22"/>
          <w:szCs w:val="22"/>
        </w:rPr>
        <w:t>Rather, I suspect that</w:t>
      </w:r>
      <w:r w:rsidR="00875F5D" w:rsidRPr="00D76A30">
        <w:rPr>
          <w:sz w:val="22"/>
          <w:szCs w:val="22"/>
        </w:rPr>
        <w:t xml:space="preserve"> t</w:t>
      </w:r>
      <w:r w:rsidR="00FA0364" w:rsidRPr="00D76A30">
        <w:rPr>
          <w:sz w:val="22"/>
          <w:szCs w:val="22"/>
        </w:rPr>
        <w:t>hese are the families in which one or both parents are likel</w:t>
      </w:r>
      <w:r w:rsidR="001A204C" w:rsidRPr="00D76A30">
        <w:rPr>
          <w:sz w:val="22"/>
          <w:szCs w:val="22"/>
        </w:rPr>
        <w:t xml:space="preserve">y to </w:t>
      </w:r>
      <w:r w:rsidR="00241372">
        <w:rPr>
          <w:sz w:val="22"/>
          <w:szCs w:val="22"/>
        </w:rPr>
        <w:t>have</w:t>
      </w:r>
      <w:r w:rsidR="001A204C" w:rsidRPr="00D76A30">
        <w:rPr>
          <w:sz w:val="22"/>
          <w:szCs w:val="22"/>
        </w:rPr>
        <w:t xml:space="preserve"> seriously dysfunctional</w:t>
      </w:r>
      <w:r w:rsidR="00241372">
        <w:rPr>
          <w:sz w:val="22"/>
          <w:szCs w:val="22"/>
        </w:rPr>
        <w:t xml:space="preserve"> profiles</w:t>
      </w:r>
      <w:r w:rsidR="00CA157F" w:rsidRPr="00D76A30">
        <w:rPr>
          <w:sz w:val="22"/>
          <w:szCs w:val="22"/>
        </w:rPr>
        <w:t>. They almost certainly need more help than mediators or</w:t>
      </w:r>
      <w:r w:rsidR="00875F5D" w:rsidRPr="00D76A30">
        <w:rPr>
          <w:sz w:val="22"/>
          <w:szCs w:val="22"/>
        </w:rPr>
        <w:t xml:space="preserve"> legal</w:t>
      </w:r>
      <w:r w:rsidR="00CA157F" w:rsidRPr="00D76A30">
        <w:rPr>
          <w:sz w:val="22"/>
          <w:szCs w:val="22"/>
        </w:rPr>
        <w:t xml:space="preserve"> negotiators can provide. Some </w:t>
      </w:r>
      <w:r w:rsidR="00D76A30">
        <w:rPr>
          <w:sz w:val="22"/>
          <w:szCs w:val="22"/>
        </w:rPr>
        <w:t>will probably</w:t>
      </w:r>
      <w:r w:rsidR="00241372">
        <w:rPr>
          <w:sz w:val="22"/>
          <w:szCs w:val="22"/>
        </w:rPr>
        <w:t xml:space="preserve"> even</w:t>
      </w:r>
      <w:r w:rsidR="00CA157F" w:rsidRPr="00D76A30">
        <w:rPr>
          <w:sz w:val="22"/>
          <w:szCs w:val="22"/>
        </w:rPr>
        <w:t xml:space="preserve"> defy judicial interventions because they live in a world that is outside normally acceptable conventions.</w:t>
      </w:r>
      <w:r w:rsidR="001A204C" w:rsidRPr="00D76A30">
        <w:rPr>
          <w:sz w:val="22"/>
          <w:szCs w:val="22"/>
        </w:rPr>
        <w:t xml:space="preserve"> </w:t>
      </w:r>
      <w:r w:rsidR="000849EB" w:rsidRPr="00D76A30">
        <w:rPr>
          <w:sz w:val="22"/>
          <w:szCs w:val="22"/>
        </w:rPr>
        <w:t xml:space="preserve">So let’s just briefly look at this group a little further </w:t>
      </w:r>
    </w:p>
    <w:p w14:paraId="6C841203" w14:textId="77777777" w:rsidR="00EA1FA6" w:rsidRPr="00D76A30" w:rsidRDefault="00EA1FA6" w:rsidP="00FA0364">
      <w:pPr>
        <w:pStyle w:val="Default"/>
        <w:rPr>
          <w:sz w:val="22"/>
          <w:szCs w:val="22"/>
        </w:rPr>
      </w:pPr>
    </w:p>
    <w:p w14:paraId="21B3E7A4" w14:textId="6C359C1A" w:rsidR="00EA1FA6" w:rsidRDefault="00604D34" w:rsidP="00FA0364">
      <w:pPr>
        <w:pStyle w:val="Default"/>
        <w:rPr>
          <w:b/>
        </w:rPr>
      </w:pPr>
      <w:r>
        <w:rPr>
          <w:b/>
        </w:rPr>
        <w:t>S</w:t>
      </w:r>
      <w:r w:rsidR="00EA1FA6" w:rsidRPr="00EA1FA6">
        <w:rPr>
          <w:b/>
        </w:rPr>
        <w:t>lide</w:t>
      </w:r>
      <w:r>
        <w:rPr>
          <w:b/>
        </w:rPr>
        <w:t xml:space="preserve"> 7</w:t>
      </w:r>
    </w:p>
    <w:p w14:paraId="22A4011A" w14:textId="77777777" w:rsidR="00EA1FA6" w:rsidRDefault="00EA1FA6" w:rsidP="00FA0364">
      <w:pPr>
        <w:pStyle w:val="Default"/>
        <w:rPr>
          <w:b/>
        </w:rPr>
      </w:pPr>
    </w:p>
    <w:p w14:paraId="6759B7E5" w14:textId="6BC43186" w:rsidR="00705543" w:rsidRDefault="00EA1FA6" w:rsidP="00705543">
      <w:pPr>
        <w:pStyle w:val="Default"/>
      </w:pPr>
      <w:r w:rsidRPr="00EA1FA6">
        <w:t xml:space="preserve">One of the </w:t>
      </w:r>
      <w:r>
        <w:t xml:space="preserve">findings that correlate strongly with this persistently highly conflicted and fearful group of parents is the expression of safety concerns. </w:t>
      </w:r>
      <w:r w:rsidR="00705543">
        <w:t>You can see in this slide that a similar percentage of parents have safety concerns in all three waves as reported negative relationships in all three waves in the previous slide.</w:t>
      </w:r>
    </w:p>
    <w:p w14:paraId="77F0CBB7" w14:textId="77777777" w:rsidR="00705543" w:rsidRDefault="00705543" w:rsidP="00FA0364">
      <w:pPr>
        <w:pStyle w:val="Default"/>
      </w:pPr>
    </w:p>
    <w:p w14:paraId="08CB0F40" w14:textId="12B140B7" w:rsidR="00EA1FA6" w:rsidRDefault="00705543" w:rsidP="00FA0364">
      <w:pPr>
        <w:pStyle w:val="Default"/>
      </w:pPr>
      <w:r>
        <w:t xml:space="preserve">Safety concerns </w:t>
      </w:r>
      <w:r w:rsidR="00B15F5B">
        <w:t>are</w:t>
      </w:r>
      <w:r>
        <w:t xml:space="preserve"> a more sensitive measure than reports of family violence. Indeed we found in the LSSF, that </w:t>
      </w:r>
      <w:r w:rsidR="00EA1FA6">
        <w:t xml:space="preserve">the </w:t>
      </w:r>
      <w:r w:rsidR="00EA1FA6" w:rsidRPr="00EA1FA6">
        <w:rPr>
          <w:i/>
        </w:rPr>
        <w:t>majority</w:t>
      </w:r>
      <w:r w:rsidR="00EA1FA6">
        <w:t xml:space="preserve"> of</w:t>
      </w:r>
      <w:r w:rsidR="000849EB">
        <w:t xml:space="preserve"> our 10000</w:t>
      </w:r>
      <w:r w:rsidR="00EA1FA6">
        <w:t xml:space="preserve"> parents reported the experience of either physical or emotional violence</w:t>
      </w:r>
      <w:r>
        <w:t xml:space="preserve"> sometime</w:t>
      </w:r>
      <w:r w:rsidR="00EA1FA6">
        <w:t xml:space="preserve"> </w:t>
      </w:r>
      <w:r>
        <w:t>before of during the separation</w:t>
      </w:r>
      <w:r w:rsidR="00241372">
        <w:t>. In the LSSF, r</w:t>
      </w:r>
      <w:r w:rsidR="00EA1FA6">
        <w:t xml:space="preserve">eports of violence had a definite impact on parental capacity to resolve disputes over children. And those who reported violence were much more likely to make use of services than those who did not. </w:t>
      </w:r>
      <w:r w:rsidR="00F766B0">
        <w:t>But that said</w:t>
      </w:r>
      <w:proofErr w:type="gramStart"/>
      <w:r w:rsidR="00F766B0">
        <w:t>,</w:t>
      </w:r>
      <w:proofErr w:type="gramEnd"/>
      <w:r w:rsidR="00F766B0">
        <w:t xml:space="preserve"> it was also the case that many parents who had reported violence at some point, had </w:t>
      </w:r>
      <w:r w:rsidR="00241372">
        <w:t xml:space="preserve">managed </w:t>
      </w:r>
      <w:r w:rsidR="00C46D64">
        <w:t>to</w:t>
      </w:r>
      <w:r w:rsidR="00241372">
        <w:t xml:space="preserve"> forge </w:t>
      </w:r>
      <w:r w:rsidR="00F766B0">
        <w:t>cooperative or friendly relationships with each othe</w:t>
      </w:r>
      <w:r w:rsidR="006F53A5">
        <w:t>r after separation. And m</w:t>
      </w:r>
      <w:r w:rsidR="00F766B0">
        <w:t>any</w:t>
      </w:r>
      <w:r w:rsidR="00B15F5B">
        <w:t xml:space="preserve"> who had reported violence at some time before or during separation</w:t>
      </w:r>
      <w:r w:rsidR="00F766B0">
        <w:t xml:space="preserve"> (though not as many as those who reported </w:t>
      </w:r>
      <w:r w:rsidR="00B15F5B">
        <w:t>“</w:t>
      </w:r>
      <w:r w:rsidR="00F766B0">
        <w:t>no violence</w:t>
      </w:r>
      <w:r w:rsidR="00B15F5B">
        <w:t>”</w:t>
      </w:r>
      <w:r w:rsidR="00F766B0">
        <w:t>) also reported</w:t>
      </w:r>
      <w:r w:rsidR="00C46D64">
        <w:t xml:space="preserve"> that their main pathway l </w:t>
      </w:r>
      <w:proofErr w:type="spellStart"/>
      <w:r w:rsidR="00C46D64">
        <w:t>eading</w:t>
      </w:r>
      <w:proofErr w:type="spellEnd"/>
      <w:r w:rsidR="00C46D64">
        <w:t xml:space="preserve"> to</w:t>
      </w:r>
      <w:r w:rsidR="00F766B0">
        <w:t xml:space="preserve"> resolution of parenting </w:t>
      </w:r>
      <w:proofErr w:type="gramStart"/>
      <w:r w:rsidR="00F766B0">
        <w:t>issues,</w:t>
      </w:r>
      <w:proofErr w:type="gramEnd"/>
      <w:r w:rsidR="00F766B0">
        <w:t xml:space="preserve"> was</w:t>
      </w:r>
      <w:r w:rsidR="00C46D64">
        <w:t xml:space="preserve"> not services or courts, but</w:t>
      </w:r>
      <w:r w:rsidR="00F766B0">
        <w:t xml:space="preserve"> </w:t>
      </w:r>
      <w:r w:rsidR="006F53A5">
        <w:t>“</w:t>
      </w:r>
      <w:r w:rsidR="00F766B0">
        <w:t>discussions between themselves</w:t>
      </w:r>
      <w:r w:rsidR="006F53A5">
        <w:t>”</w:t>
      </w:r>
      <w:r w:rsidR="00F766B0">
        <w:t>.</w:t>
      </w:r>
      <w:r w:rsidR="006F53A5">
        <w:t xml:space="preserve"> </w:t>
      </w:r>
    </w:p>
    <w:p w14:paraId="79933361" w14:textId="77777777" w:rsidR="00F766B0" w:rsidRDefault="00F766B0" w:rsidP="00FA0364">
      <w:pPr>
        <w:pStyle w:val="Default"/>
      </w:pPr>
    </w:p>
    <w:p w14:paraId="415E52ED" w14:textId="72F52F46" w:rsidR="00A71420" w:rsidRDefault="006F53A5" w:rsidP="00FA0364">
      <w:pPr>
        <w:pStyle w:val="Default"/>
      </w:pPr>
      <w:r>
        <w:t>The</w:t>
      </w:r>
      <w:r w:rsidR="00F766B0">
        <w:t xml:space="preserve"> recognition of separation-related violence </w:t>
      </w:r>
      <w:r w:rsidR="00705543">
        <w:t xml:space="preserve">remains </w:t>
      </w:r>
      <w:r w:rsidR="00F766B0">
        <w:t>an important issue</w:t>
      </w:r>
      <w:r>
        <w:t xml:space="preserve"> for family law service providers. </w:t>
      </w:r>
      <w:r w:rsidR="006D293B">
        <w:t xml:space="preserve">Indeed evidence from the evaluation of the 2006 family law reforms showed that the majority of those attending FRCs had experienced either physical of emotional violence or both. This was contrary to what many had expected. At the time FRCs were thought about, there was a general assumption that cases in </w:t>
      </w:r>
      <w:r w:rsidR="00241372">
        <w:t>which violence had occurred would not be</w:t>
      </w:r>
      <w:r w:rsidR="006D293B">
        <w:t xml:space="preserve"> suitable for mediation. </w:t>
      </w:r>
      <w:r w:rsidR="00555E75">
        <w:t>The truth however is that if all cases in which violence had occurred were screened out, FRCs would have little</w:t>
      </w:r>
      <w:r w:rsidR="00241372">
        <w:t xml:space="preserve"> mediation work</w:t>
      </w:r>
      <w:r w:rsidR="00555E75">
        <w:t xml:space="preserve"> to do. The key issue that needs careful assessment in FRCs is whether or not both parents are capable of representing themselves and their children without fear. </w:t>
      </w:r>
      <w:r w:rsidR="00241372">
        <w:t>Quite a few can</w:t>
      </w:r>
      <w:r w:rsidR="00555E75">
        <w:t xml:space="preserve"> can. And there is evidence that many would prefer to have their situ</w:t>
      </w:r>
      <w:r w:rsidR="00A71420">
        <w:t xml:space="preserve">ation resolved through facilitated processes such as mediation, even when violence had occurred. </w:t>
      </w:r>
    </w:p>
    <w:p w14:paraId="07471B92" w14:textId="25D494B5" w:rsidR="00F766B0" w:rsidRDefault="00F766B0" w:rsidP="00FA0364">
      <w:pPr>
        <w:pStyle w:val="Default"/>
      </w:pPr>
    </w:p>
    <w:p w14:paraId="177E987F" w14:textId="48B7B3F7" w:rsidR="00F766B0" w:rsidRDefault="00A71420" w:rsidP="00FA0364">
      <w:pPr>
        <w:pStyle w:val="Default"/>
        <w:rPr>
          <w:b/>
        </w:rPr>
      </w:pPr>
      <w:r>
        <w:rPr>
          <w:b/>
        </w:rPr>
        <w:t>Slide 8</w:t>
      </w:r>
    </w:p>
    <w:p w14:paraId="2F094463" w14:textId="77777777" w:rsidR="00F766B0" w:rsidRDefault="00F766B0" w:rsidP="00FA0364">
      <w:pPr>
        <w:pStyle w:val="Default"/>
        <w:rPr>
          <w:b/>
        </w:rPr>
      </w:pPr>
    </w:p>
    <w:p w14:paraId="6E4F1D0A" w14:textId="77777777" w:rsidR="00C46D64" w:rsidRDefault="00C46D64" w:rsidP="00C46D64">
      <w:pPr>
        <w:pStyle w:val="Default"/>
      </w:pPr>
      <w:r>
        <w:t xml:space="preserve">While not wanting to </w:t>
      </w:r>
      <w:proofErr w:type="spellStart"/>
      <w:r>
        <w:t>minimise</w:t>
      </w:r>
      <w:proofErr w:type="spellEnd"/>
      <w:r>
        <w:t xml:space="preserve"> how difficult facilitated processes can be for these families, it’s also clear that we needed more sensitive markers to help us focus on those families in really serious trouble. </w:t>
      </w:r>
    </w:p>
    <w:p w14:paraId="23BEEB21" w14:textId="77777777" w:rsidR="00C46D64" w:rsidRDefault="00C46D64" w:rsidP="00FA0364">
      <w:pPr>
        <w:pStyle w:val="Default"/>
      </w:pPr>
    </w:p>
    <w:p w14:paraId="37FF38C3" w14:textId="2A33C0D7" w:rsidR="00F766B0" w:rsidRPr="00F766B0" w:rsidRDefault="00A71420" w:rsidP="00FA0364">
      <w:pPr>
        <w:pStyle w:val="Default"/>
      </w:pPr>
      <w:r>
        <w:t xml:space="preserve">This slide </w:t>
      </w:r>
      <w:proofErr w:type="spellStart"/>
      <w:r>
        <w:t>summarises</w:t>
      </w:r>
      <w:proofErr w:type="spellEnd"/>
      <w:r>
        <w:t xml:space="preserve"> the</w:t>
      </w:r>
      <w:r w:rsidR="00F766B0" w:rsidRPr="00F766B0">
        <w:t xml:space="preserve"> sort</w:t>
      </w:r>
      <w:r w:rsidR="00F766B0">
        <w:t>s</w:t>
      </w:r>
      <w:r w:rsidR="00F766B0" w:rsidRPr="00F766B0">
        <w:t xml:space="preserve"> of </w:t>
      </w:r>
      <w:r w:rsidR="00F766B0">
        <w:t>problems</w:t>
      </w:r>
      <w:r>
        <w:t xml:space="preserve"> are reported by</w:t>
      </w:r>
      <w:r w:rsidR="00F766B0">
        <w:t xml:space="preserve"> those with safety concerns</w:t>
      </w:r>
      <w:r>
        <w:t>.</w:t>
      </w:r>
      <w:r w:rsidR="00F766B0">
        <w:t xml:space="preserve"> </w:t>
      </w:r>
      <w:r>
        <w:t>Not</w:t>
      </w:r>
      <w:r w:rsidR="00F766B0">
        <w:t xml:space="preserve"> surprisingly perhaps, they are the usual suspects of </w:t>
      </w:r>
      <w:r w:rsidR="001B5ECC">
        <w:t>dangerousness, mental health issues, substance abuse and addictions.</w:t>
      </w:r>
      <w:r w:rsidR="00F766B0">
        <w:t xml:space="preserve"> </w:t>
      </w:r>
    </w:p>
    <w:p w14:paraId="5648B418" w14:textId="77777777" w:rsidR="00F8721A" w:rsidRDefault="00F8721A" w:rsidP="00FA0364">
      <w:pPr>
        <w:pStyle w:val="Default"/>
        <w:rPr>
          <w:b/>
        </w:rPr>
      </w:pPr>
    </w:p>
    <w:p w14:paraId="22F04690" w14:textId="5533B8B2" w:rsidR="002F7A55" w:rsidRDefault="000E753D" w:rsidP="00FA0364">
      <w:pPr>
        <w:pStyle w:val="Default"/>
        <w:rPr>
          <w:b/>
        </w:rPr>
      </w:pPr>
      <w:r>
        <w:rPr>
          <w:b/>
        </w:rPr>
        <w:t>Slide 9</w:t>
      </w:r>
    </w:p>
    <w:p w14:paraId="4CF10B3B" w14:textId="77777777" w:rsidR="00F8721A" w:rsidRDefault="00F8721A" w:rsidP="00FA0364">
      <w:pPr>
        <w:pStyle w:val="Default"/>
      </w:pPr>
    </w:p>
    <w:p w14:paraId="72693260" w14:textId="6C19F07B" w:rsidR="002F7A55" w:rsidRDefault="00B7777D" w:rsidP="00FA0364">
      <w:pPr>
        <w:pStyle w:val="Default"/>
      </w:pPr>
      <w:r>
        <w:t>And</w:t>
      </w:r>
      <w:r w:rsidR="002F7A55" w:rsidRPr="002F7A55">
        <w:t xml:space="preserve"> here is </w:t>
      </w:r>
      <w:r w:rsidR="002F7A55">
        <w:t xml:space="preserve">what is happening on the </w:t>
      </w:r>
      <w:r w:rsidR="002F7A55" w:rsidRPr="00B7777D">
        <w:rPr>
          <w:i/>
        </w:rPr>
        <w:t>relationship</w:t>
      </w:r>
      <w:r w:rsidR="002F7A55">
        <w:t xml:space="preserve"> front for those who reported safety concerns at Wave 3. You can see that where there are no concerns, friendliness and cooperation is high, while high conflict is low. And the reverse is true were there </w:t>
      </w:r>
      <w:r w:rsidR="002F7A55">
        <w:rPr>
          <w:i/>
        </w:rPr>
        <w:t xml:space="preserve">are </w:t>
      </w:r>
      <w:r w:rsidR="002F7A55">
        <w:t>safety concerns.</w:t>
      </w:r>
      <w:r w:rsidR="000E753D">
        <w:t xml:space="preserve"> My w</w:t>
      </w:r>
      <w:r w:rsidR="00224209">
        <w:t>orking hypothesis, which probab</w:t>
      </w:r>
      <w:r w:rsidR="000E753D">
        <w:t>ly has its origins in my training as a therapist, is that</w:t>
      </w:r>
      <w:r w:rsidR="00C46D64">
        <w:t xml:space="preserve"> quality of</w:t>
      </w:r>
      <w:r w:rsidR="000E753D">
        <w:t xml:space="preserve"> relationships are the key variable in sorting out </w:t>
      </w:r>
      <w:r w:rsidR="00576957">
        <w:t>post separation disputes – especially disputes over children.</w:t>
      </w:r>
    </w:p>
    <w:p w14:paraId="58276C11" w14:textId="77777777" w:rsidR="00F8721A" w:rsidRDefault="00F8721A" w:rsidP="00FA0364">
      <w:pPr>
        <w:pStyle w:val="Default"/>
        <w:rPr>
          <w:b/>
        </w:rPr>
      </w:pPr>
    </w:p>
    <w:p w14:paraId="2AF63B4B" w14:textId="5D2831FD" w:rsidR="00F8721A" w:rsidRPr="00F8721A" w:rsidRDefault="00576957" w:rsidP="00FA0364">
      <w:pPr>
        <w:pStyle w:val="Default"/>
        <w:rPr>
          <w:b/>
        </w:rPr>
      </w:pPr>
      <w:r>
        <w:rPr>
          <w:b/>
        </w:rPr>
        <w:t>Slide 10</w:t>
      </w:r>
    </w:p>
    <w:p w14:paraId="7B69A17D" w14:textId="3DA63707" w:rsidR="00F8721A" w:rsidRDefault="00224209" w:rsidP="00FA0364">
      <w:pPr>
        <w:pStyle w:val="Default"/>
      </w:pPr>
      <w:r>
        <w:t>M</w:t>
      </w:r>
      <w:r w:rsidR="00B7777D">
        <w:t>oving from this highly problematic group, to a focus on the majority of separating parents, this was one of the conclusions we came in our Wave 3 report.</w:t>
      </w:r>
    </w:p>
    <w:p w14:paraId="4421B645" w14:textId="0448CCB0" w:rsidR="00F8721A" w:rsidRPr="00191E65" w:rsidRDefault="00F8721A" w:rsidP="00F8721A">
      <w:pPr>
        <w:pStyle w:val="BodyText"/>
        <w:rPr>
          <w:i/>
        </w:rPr>
      </w:pPr>
      <w:r w:rsidRPr="00B7777D">
        <w:rPr>
          <w:i/>
        </w:rPr>
        <w:t>The evidence [from the three waves] suggested that most separated parents were relating to each other fairly well. Data on service use and main pathways towards sorting out arrangements for their children suggest that, at most, these parents needed only modest assistance from facilitative, therapeutic or advisory services (including of a legal nature).</w:t>
      </w:r>
    </w:p>
    <w:p w14:paraId="079F8749" w14:textId="0415A4F0" w:rsidR="00576957" w:rsidRDefault="00191E65" w:rsidP="00F8721A">
      <w:pPr>
        <w:pStyle w:val="BodyText"/>
        <w:rPr>
          <w:sz w:val="24"/>
          <w:szCs w:val="24"/>
        </w:rPr>
      </w:pPr>
      <w:r>
        <w:rPr>
          <w:sz w:val="24"/>
          <w:szCs w:val="24"/>
        </w:rPr>
        <w:t>So where did doing research from a longitudinal perspective lead us? It confirmed a hypothesis that there is a strong correlation between quality of relationships and capacity to resolve disputes over children. But it also confirmed that</w:t>
      </w:r>
      <w:r w:rsidR="002256CE">
        <w:rPr>
          <w:sz w:val="24"/>
          <w:szCs w:val="24"/>
        </w:rPr>
        <w:t xml:space="preserve"> only</w:t>
      </w:r>
      <w:r>
        <w:rPr>
          <w:sz w:val="24"/>
          <w:szCs w:val="24"/>
        </w:rPr>
        <w:t xml:space="preserve"> </w:t>
      </w:r>
      <w:r w:rsidR="00C46D64">
        <w:rPr>
          <w:sz w:val="24"/>
          <w:szCs w:val="24"/>
        </w:rPr>
        <w:t>a relatively small percentage</w:t>
      </w:r>
      <w:r>
        <w:rPr>
          <w:sz w:val="24"/>
          <w:szCs w:val="24"/>
        </w:rPr>
        <w:t xml:space="preserve"> </w:t>
      </w:r>
      <w:r w:rsidR="00C46D64">
        <w:rPr>
          <w:sz w:val="24"/>
          <w:szCs w:val="24"/>
        </w:rPr>
        <w:t xml:space="preserve">of </w:t>
      </w:r>
      <w:r>
        <w:rPr>
          <w:sz w:val="24"/>
          <w:szCs w:val="24"/>
        </w:rPr>
        <w:t xml:space="preserve">parents remain stuck in seriously </w:t>
      </w:r>
      <w:r w:rsidR="002256CE">
        <w:rPr>
          <w:sz w:val="24"/>
          <w:szCs w:val="24"/>
        </w:rPr>
        <w:t>dysfunctional</w:t>
      </w:r>
      <w:r>
        <w:rPr>
          <w:sz w:val="24"/>
          <w:szCs w:val="24"/>
        </w:rPr>
        <w:t xml:space="preserve"> relationships. The fact that at each wave, almost one in five parents have lots of conflict or are fearful</w:t>
      </w:r>
      <w:r w:rsidR="00576957">
        <w:rPr>
          <w:sz w:val="24"/>
          <w:szCs w:val="24"/>
        </w:rPr>
        <w:t xml:space="preserve"> is an important finding.</w:t>
      </w:r>
      <w:r>
        <w:rPr>
          <w:sz w:val="24"/>
          <w:szCs w:val="24"/>
        </w:rPr>
        <w:t xml:space="preserve"> The evidence that most</w:t>
      </w:r>
      <w:r w:rsidR="00576957">
        <w:rPr>
          <w:sz w:val="24"/>
          <w:szCs w:val="24"/>
        </w:rPr>
        <w:t xml:space="preserve"> </w:t>
      </w:r>
      <w:r>
        <w:rPr>
          <w:sz w:val="24"/>
          <w:szCs w:val="24"/>
        </w:rPr>
        <w:t>don’t remain in this state</w:t>
      </w:r>
      <w:r w:rsidR="002256CE">
        <w:rPr>
          <w:sz w:val="24"/>
          <w:szCs w:val="24"/>
        </w:rPr>
        <w:t xml:space="preserve"> however, might suggest</w:t>
      </w:r>
      <w:r>
        <w:rPr>
          <w:sz w:val="24"/>
          <w:szCs w:val="24"/>
        </w:rPr>
        <w:t xml:space="preserve"> that parents are</w:t>
      </w:r>
      <w:r w:rsidR="00820679">
        <w:rPr>
          <w:sz w:val="24"/>
          <w:szCs w:val="24"/>
        </w:rPr>
        <w:t xml:space="preserve"> more</w:t>
      </w:r>
      <w:r>
        <w:rPr>
          <w:sz w:val="24"/>
          <w:szCs w:val="24"/>
        </w:rPr>
        <w:t xml:space="preserve"> likely to be reacting to external stressors such as new relationships, having to move house, financial problems etc. </w:t>
      </w:r>
    </w:p>
    <w:p w14:paraId="2E145BBA" w14:textId="51185368" w:rsidR="00191E65" w:rsidRPr="00615ADF" w:rsidRDefault="00576957" w:rsidP="00F8721A">
      <w:pPr>
        <w:pStyle w:val="BodyText"/>
        <w:rPr>
          <w:sz w:val="24"/>
          <w:szCs w:val="24"/>
        </w:rPr>
      </w:pPr>
      <w:r>
        <w:rPr>
          <w:sz w:val="24"/>
          <w:szCs w:val="24"/>
        </w:rPr>
        <w:t xml:space="preserve">For </w:t>
      </w:r>
      <w:r w:rsidR="002256CE">
        <w:rPr>
          <w:sz w:val="24"/>
          <w:szCs w:val="24"/>
        </w:rPr>
        <w:t>these families therefore</w:t>
      </w:r>
      <w:r>
        <w:rPr>
          <w:sz w:val="24"/>
          <w:szCs w:val="24"/>
        </w:rPr>
        <w:t>, the evidence suggests that these</w:t>
      </w:r>
      <w:r w:rsidR="00820679">
        <w:rPr>
          <w:sz w:val="24"/>
          <w:szCs w:val="24"/>
        </w:rPr>
        <w:t xml:space="preserve"> things tend to settle with time. </w:t>
      </w:r>
      <w:r w:rsidR="00862CFB">
        <w:rPr>
          <w:sz w:val="24"/>
          <w:szCs w:val="24"/>
        </w:rPr>
        <w:t>D</w:t>
      </w:r>
      <w:r w:rsidR="00820679">
        <w:rPr>
          <w:sz w:val="24"/>
          <w:szCs w:val="24"/>
        </w:rPr>
        <w:t xml:space="preserve">uring the times when it all seems too much and when relationships temporarily unravel, some </w:t>
      </w:r>
      <w:proofErr w:type="spellStart"/>
      <w:r w:rsidR="00820679">
        <w:rPr>
          <w:sz w:val="24"/>
          <w:szCs w:val="24"/>
        </w:rPr>
        <w:t>stabalising</w:t>
      </w:r>
      <w:proofErr w:type="spellEnd"/>
      <w:r w:rsidR="00820679">
        <w:rPr>
          <w:sz w:val="24"/>
          <w:szCs w:val="24"/>
        </w:rPr>
        <w:t xml:space="preserve"> orders and/or some</w:t>
      </w:r>
      <w:r>
        <w:rPr>
          <w:sz w:val="24"/>
          <w:szCs w:val="24"/>
        </w:rPr>
        <w:t xml:space="preserve"> legal or other</w:t>
      </w:r>
      <w:r w:rsidR="00820679">
        <w:rPr>
          <w:sz w:val="24"/>
          <w:szCs w:val="24"/>
        </w:rPr>
        <w:t xml:space="preserve"> advocacy</w:t>
      </w:r>
      <w:r w:rsidR="00862CFB">
        <w:rPr>
          <w:sz w:val="24"/>
          <w:szCs w:val="24"/>
        </w:rPr>
        <w:t xml:space="preserve"> may be appropriate</w:t>
      </w:r>
      <w:r>
        <w:rPr>
          <w:sz w:val="24"/>
          <w:szCs w:val="24"/>
        </w:rPr>
        <w:t xml:space="preserve">. </w:t>
      </w:r>
      <w:r w:rsidR="00224209">
        <w:rPr>
          <w:sz w:val="24"/>
          <w:szCs w:val="24"/>
        </w:rPr>
        <w:t>Inevitably however,</w:t>
      </w:r>
      <w:r w:rsidR="00640BB7">
        <w:rPr>
          <w:sz w:val="24"/>
          <w:szCs w:val="24"/>
        </w:rPr>
        <w:t xml:space="preserve"> legal orders and advocacy on behalf of a client are blunt instruments. </w:t>
      </w:r>
      <w:r w:rsidR="000B1534">
        <w:rPr>
          <w:sz w:val="24"/>
          <w:szCs w:val="24"/>
        </w:rPr>
        <w:t>For those parents who need help to</w:t>
      </w:r>
      <w:r w:rsidR="00640BB7">
        <w:rPr>
          <w:sz w:val="24"/>
          <w:szCs w:val="24"/>
        </w:rPr>
        <w:t xml:space="preserve"> heal relationships or at least get to a point where </w:t>
      </w:r>
      <w:r w:rsidR="000B1534">
        <w:rPr>
          <w:sz w:val="24"/>
          <w:szCs w:val="24"/>
        </w:rPr>
        <w:t>they</w:t>
      </w:r>
      <w:r w:rsidR="00640BB7">
        <w:rPr>
          <w:sz w:val="24"/>
          <w:szCs w:val="24"/>
        </w:rPr>
        <w:t xml:space="preserve"> can live with the</w:t>
      </w:r>
      <w:r w:rsidR="00224209">
        <w:rPr>
          <w:sz w:val="24"/>
          <w:szCs w:val="24"/>
        </w:rPr>
        <w:t>ir</w:t>
      </w:r>
      <w:r w:rsidR="00640BB7">
        <w:rPr>
          <w:sz w:val="24"/>
          <w:szCs w:val="24"/>
        </w:rPr>
        <w:t xml:space="preserve"> diffe</w:t>
      </w:r>
      <w:r w:rsidR="000B1534">
        <w:rPr>
          <w:sz w:val="24"/>
          <w:szCs w:val="24"/>
        </w:rPr>
        <w:t xml:space="preserve">rences, </w:t>
      </w:r>
      <w:r w:rsidR="002256CE">
        <w:rPr>
          <w:sz w:val="24"/>
          <w:szCs w:val="24"/>
        </w:rPr>
        <w:t>the FRCs were an acknowledgment</w:t>
      </w:r>
      <w:r w:rsidR="00862CFB">
        <w:rPr>
          <w:sz w:val="24"/>
          <w:szCs w:val="24"/>
        </w:rPr>
        <w:t xml:space="preserve"> that what was needed was</w:t>
      </w:r>
      <w:r w:rsidR="000B1534">
        <w:rPr>
          <w:sz w:val="24"/>
          <w:szCs w:val="24"/>
        </w:rPr>
        <w:t xml:space="preserve"> a recognisable</w:t>
      </w:r>
      <w:r w:rsidR="00820679">
        <w:rPr>
          <w:sz w:val="24"/>
          <w:szCs w:val="24"/>
        </w:rPr>
        <w:t xml:space="preserve"> place where </w:t>
      </w:r>
      <w:r w:rsidR="00862CFB">
        <w:rPr>
          <w:sz w:val="24"/>
          <w:szCs w:val="24"/>
        </w:rPr>
        <w:t>they</w:t>
      </w:r>
      <w:r w:rsidR="003775DF">
        <w:rPr>
          <w:sz w:val="24"/>
          <w:szCs w:val="24"/>
        </w:rPr>
        <w:t xml:space="preserve"> could</w:t>
      </w:r>
      <w:r w:rsidR="00640BB7">
        <w:rPr>
          <w:sz w:val="24"/>
          <w:szCs w:val="24"/>
        </w:rPr>
        <w:t xml:space="preserve"> be supported to</w:t>
      </w:r>
      <w:r w:rsidR="00820679">
        <w:rPr>
          <w:sz w:val="24"/>
          <w:szCs w:val="24"/>
        </w:rPr>
        <w:t xml:space="preserve"> talk with each other</w:t>
      </w:r>
      <w:r w:rsidR="00640BB7">
        <w:rPr>
          <w:sz w:val="24"/>
          <w:szCs w:val="24"/>
        </w:rPr>
        <w:t xml:space="preserve"> (directly or indirectly),</w:t>
      </w:r>
      <w:r w:rsidR="00820679">
        <w:rPr>
          <w:sz w:val="24"/>
          <w:szCs w:val="24"/>
        </w:rPr>
        <w:t xml:space="preserve"> or</w:t>
      </w:r>
      <w:r w:rsidR="00224209">
        <w:rPr>
          <w:sz w:val="24"/>
          <w:szCs w:val="24"/>
        </w:rPr>
        <w:t xml:space="preserve"> talk to s</w:t>
      </w:r>
      <w:r w:rsidR="00640BB7">
        <w:rPr>
          <w:sz w:val="24"/>
          <w:szCs w:val="24"/>
        </w:rPr>
        <w:t>omebody</w:t>
      </w:r>
      <w:r w:rsidR="00820679">
        <w:rPr>
          <w:sz w:val="24"/>
          <w:szCs w:val="24"/>
        </w:rPr>
        <w:t xml:space="preserve"> </w:t>
      </w:r>
      <w:r w:rsidR="00862CFB">
        <w:rPr>
          <w:sz w:val="24"/>
          <w:szCs w:val="24"/>
        </w:rPr>
        <w:t>individually</w:t>
      </w:r>
      <w:r w:rsidR="00820679">
        <w:rPr>
          <w:sz w:val="24"/>
          <w:szCs w:val="24"/>
        </w:rPr>
        <w:t xml:space="preserve"> if necessary</w:t>
      </w:r>
      <w:r w:rsidR="00862CFB">
        <w:rPr>
          <w:sz w:val="24"/>
          <w:szCs w:val="24"/>
        </w:rPr>
        <w:t>.</w:t>
      </w:r>
    </w:p>
    <w:p w14:paraId="05C242EE" w14:textId="5F3D8FAC" w:rsidR="00B113E0" w:rsidRPr="00640BB7" w:rsidRDefault="00640BB7" w:rsidP="00F8721A">
      <w:pPr>
        <w:pStyle w:val="BodyText"/>
        <w:rPr>
          <w:b/>
          <w:sz w:val="24"/>
          <w:szCs w:val="24"/>
        </w:rPr>
      </w:pPr>
      <w:r>
        <w:rPr>
          <w:b/>
          <w:sz w:val="24"/>
          <w:szCs w:val="24"/>
        </w:rPr>
        <w:t>Slide 11</w:t>
      </w:r>
    </w:p>
    <w:p w14:paraId="70DCCD73" w14:textId="77777777" w:rsidR="00224209" w:rsidRDefault="00224209" w:rsidP="00B113E0">
      <w:pPr>
        <w:widowControl w:val="0"/>
        <w:autoSpaceDE w:val="0"/>
        <w:autoSpaceDN w:val="0"/>
        <w:adjustRightInd w:val="0"/>
        <w:rPr>
          <w:rFonts w:ascii="Garamond" w:hAnsi="Garamond"/>
        </w:rPr>
      </w:pPr>
    </w:p>
    <w:p w14:paraId="1BCE8C32" w14:textId="0D21C1C1" w:rsidR="00B113E0" w:rsidRPr="007029CA" w:rsidRDefault="00B113E0" w:rsidP="00B113E0">
      <w:pPr>
        <w:widowControl w:val="0"/>
        <w:autoSpaceDE w:val="0"/>
        <w:autoSpaceDN w:val="0"/>
        <w:adjustRightInd w:val="0"/>
        <w:rPr>
          <w:rFonts w:ascii="Garamond" w:hAnsi="Garamond"/>
          <w:color w:val="231F20"/>
          <w:lang w:val="en-US"/>
        </w:rPr>
      </w:pPr>
      <w:r w:rsidRPr="007029CA">
        <w:rPr>
          <w:rFonts w:ascii="Garamond" w:hAnsi="Garamond"/>
        </w:rPr>
        <w:t xml:space="preserve">As </w:t>
      </w:r>
      <w:r w:rsidR="004356D7" w:rsidRPr="007029CA">
        <w:rPr>
          <w:rFonts w:ascii="Garamond" w:hAnsi="Garamond"/>
        </w:rPr>
        <w:t xml:space="preserve">a central </w:t>
      </w:r>
      <w:r w:rsidR="007029CA" w:rsidRPr="007029CA">
        <w:rPr>
          <w:rFonts w:ascii="Garamond" w:hAnsi="Garamond"/>
        </w:rPr>
        <w:t>part of the 2006 reforms, Family Relationship Centres</w:t>
      </w:r>
      <w:r w:rsidRPr="007029CA">
        <w:rPr>
          <w:rFonts w:ascii="Garamond" w:hAnsi="Garamond"/>
        </w:rPr>
        <w:t xml:space="preserve"> were meant to “represent a generational change in family law”</w:t>
      </w:r>
      <w:r w:rsidRPr="007029CA">
        <w:rPr>
          <w:rFonts w:ascii="Garamond" w:hAnsi="Garamond"/>
          <w:color w:val="231F20"/>
          <w:lang w:val="en-US"/>
        </w:rPr>
        <w:t xml:space="preserve"> and to bring about a “cultural shift” in the management of parental separation “away from litigation and towards cooperative parenting”. </w:t>
      </w:r>
      <w:r w:rsidRPr="007029CA">
        <w:rPr>
          <w:rStyle w:val="FootnoteReference"/>
          <w:rFonts w:ascii="Garamond" w:hAnsi="Garamond"/>
          <w:color w:val="231F20"/>
          <w:lang w:val="en-US"/>
        </w:rPr>
        <w:footnoteReference w:id="2"/>
      </w:r>
      <w:r w:rsidRPr="007029CA">
        <w:rPr>
          <w:rFonts w:ascii="Garamond" w:hAnsi="Garamond"/>
          <w:color w:val="231F20"/>
          <w:lang w:val="en-US"/>
        </w:rPr>
        <w:t xml:space="preserve"> </w:t>
      </w:r>
    </w:p>
    <w:p w14:paraId="5DE50DCA" w14:textId="77777777" w:rsidR="00B113E0" w:rsidRPr="007029CA" w:rsidRDefault="00B113E0" w:rsidP="00B113E0">
      <w:pPr>
        <w:widowControl w:val="0"/>
        <w:autoSpaceDE w:val="0"/>
        <w:autoSpaceDN w:val="0"/>
        <w:adjustRightInd w:val="0"/>
        <w:rPr>
          <w:rFonts w:ascii="Garamond" w:hAnsi="Garamond"/>
          <w:color w:val="231F20"/>
          <w:lang w:val="en-US"/>
        </w:rPr>
      </w:pPr>
    </w:p>
    <w:p w14:paraId="374EDDFE" w14:textId="161F7827" w:rsidR="00B113E0" w:rsidRDefault="00B113E0" w:rsidP="00B113E0">
      <w:pPr>
        <w:widowControl w:val="0"/>
        <w:autoSpaceDE w:val="0"/>
        <w:autoSpaceDN w:val="0"/>
        <w:adjustRightInd w:val="0"/>
        <w:rPr>
          <w:rFonts w:ascii="Garamond" w:hAnsi="Garamond"/>
        </w:rPr>
      </w:pPr>
      <w:r w:rsidRPr="007029CA">
        <w:rPr>
          <w:rFonts w:ascii="Garamond" w:hAnsi="Garamond"/>
          <w:color w:val="231F20"/>
          <w:lang w:val="en-US"/>
        </w:rPr>
        <w:t xml:space="preserve">Promoted by Government (Commonwealth of Australia 2005 p. 1) as “the biggest investment in Australian family law ever”, the most significant part of that investment was </w:t>
      </w:r>
      <w:r w:rsidRPr="007029CA">
        <w:rPr>
          <w:rFonts w:ascii="Garamond" w:hAnsi="Garamond"/>
        </w:rPr>
        <w:t>increased funding for new and expanded community-based family relationship services.</w:t>
      </w:r>
      <w:r w:rsidR="004356D7" w:rsidRPr="007029CA">
        <w:rPr>
          <w:rFonts w:ascii="Garamond" w:hAnsi="Garamond"/>
        </w:rPr>
        <w:t xml:space="preserve"> There were quite a number of those</w:t>
      </w:r>
      <w:r w:rsidR="004356D7" w:rsidRPr="007029CA">
        <w:rPr>
          <w:rStyle w:val="FootnoteReference"/>
          <w:rFonts w:ascii="Garamond" w:hAnsi="Garamond"/>
        </w:rPr>
        <w:footnoteReference w:id="3"/>
      </w:r>
      <w:r w:rsidR="004356D7" w:rsidRPr="007029CA">
        <w:rPr>
          <w:rFonts w:ascii="Garamond" w:hAnsi="Garamond"/>
        </w:rPr>
        <w:t xml:space="preserve"> and we don’t have time to look at them individually. But c</w:t>
      </w:r>
      <w:r w:rsidRPr="007029CA">
        <w:rPr>
          <w:rFonts w:ascii="Garamond" w:hAnsi="Garamond"/>
        </w:rPr>
        <w:t xml:space="preserve">entral to these services and a centrepiece of the reforms, was the establishment of 65 Family </w:t>
      </w:r>
      <w:r w:rsidR="004356D7" w:rsidRPr="007029CA">
        <w:rPr>
          <w:rFonts w:ascii="Garamond" w:hAnsi="Garamond"/>
        </w:rPr>
        <w:t>FRCs</w:t>
      </w:r>
      <w:r w:rsidRPr="007029CA">
        <w:rPr>
          <w:rFonts w:ascii="Garamond" w:hAnsi="Garamond"/>
        </w:rPr>
        <w:t>.</w:t>
      </w:r>
      <w:r w:rsidRPr="007029CA">
        <w:rPr>
          <w:rStyle w:val="FootnoteReference"/>
          <w:rFonts w:ascii="Garamond" w:hAnsi="Garamond"/>
        </w:rPr>
        <w:footnoteReference w:id="4"/>
      </w:r>
      <w:r w:rsidRPr="007029CA">
        <w:rPr>
          <w:rFonts w:ascii="Garamond" w:hAnsi="Garamond"/>
        </w:rPr>
        <w:t xml:space="preserve"> </w:t>
      </w:r>
    </w:p>
    <w:p w14:paraId="528B2BEB" w14:textId="77777777" w:rsidR="00615ADF" w:rsidRDefault="00615ADF" w:rsidP="00B113E0">
      <w:pPr>
        <w:widowControl w:val="0"/>
        <w:autoSpaceDE w:val="0"/>
        <w:autoSpaceDN w:val="0"/>
        <w:adjustRightInd w:val="0"/>
        <w:rPr>
          <w:rFonts w:ascii="Garamond" w:hAnsi="Garamond"/>
        </w:rPr>
      </w:pPr>
    </w:p>
    <w:p w14:paraId="56E2433F" w14:textId="2D448FE1" w:rsidR="003F5F59" w:rsidRDefault="00615ADF" w:rsidP="00B113E0">
      <w:pPr>
        <w:widowControl w:val="0"/>
        <w:autoSpaceDE w:val="0"/>
        <w:autoSpaceDN w:val="0"/>
        <w:adjustRightInd w:val="0"/>
        <w:rPr>
          <w:rFonts w:ascii="Garamond" w:hAnsi="Garamond"/>
        </w:rPr>
      </w:pPr>
      <w:r>
        <w:rPr>
          <w:rFonts w:ascii="Garamond" w:hAnsi="Garamond"/>
        </w:rPr>
        <w:t>FRCs</w:t>
      </w:r>
      <w:r w:rsidRPr="00615ADF">
        <w:rPr>
          <w:rFonts w:ascii="Garamond" w:hAnsi="Garamond"/>
        </w:rPr>
        <w:t xml:space="preserve"> would be a space</w:t>
      </w:r>
      <w:r w:rsidR="003F5F59">
        <w:rPr>
          <w:rFonts w:ascii="Garamond" w:hAnsi="Garamond"/>
        </w:rPr>
        <w:t xml:space="preserve"> for family members, but especially parents,</w:t>
      </w:r>
      <w:r w:rsidRPr="00615ADF">
        <w:rPr>
          <w:rFonts w:ascii="Garamond" w:hAnsi="Garamond"/>
        </w:rPr>
        <w:t xml:space="preserve"> to talk (directly or via a ‘warm referral’) about what was needed for themselves, what was needed for the children, and how to continue to be good or at least adequate parent</w:t>
      </w:r>
      <w:r w:rsidR="003F5F59">
        <w:rPr>
          <w:rFonts w:ascii="Garamond" w:hAnsi="Garamond"/>
        </w:rPr>
        <w:t>s or good supports (for example in the case of grandparents) to children and the parenting process</w:t>
      </w:r>
      <w:r w:rsidRPr="00615ADF">
        <w:rPr>
          <w:rFonts w:ascii="Garamond" w:hAnsi="Garamond"/>
        </w:rPr>
        <w:t xml:space="preserve">. </w:t>
      </w:r>
    </w:p>
    <w:p w14:paraId="032439AF" w14:textId="77777777" w:rsidR="003F5F59" w:rsidRDefault="003F5F59" w:rsidP="00B113E0">
      <w:pPr>
        <w:widowControl w:val="0"/>
        <w:autoSpaceDE w:val="0"/>
        <w:autoSpaceDN w:val="0"/>
        <w:adjustRightInd w:val="0"/>
        <w:rPr>
          <w:rFonts w:ascii="Garamond" w:hAnsi="Garamond"/>
        </w:rPr>
      </w:pPr>
    </w:p>
    <w:p w14:paraId="572AC550" w14:textId="489A8FAE" w:rsidR="00615ADF" w:rsidRPr="00615ADF" w:rsidRDefault="00615ADF" w:rsidP="00B113E0">
      <w:pPr>
        <w:widowControl w:val="0"/>
        <w:autoSpaceDE w:val="0"/>
        <w:autoSpaceDN w:val="0"/>
        <w:adjustRightInd w:val="0"/>
        <w:rPr>
          <w:rFonts w:ascii="Garamond" w:hAnsi="Garamond"/>
          <w:color w:val="231F20"/>
          <w:lang w:val="en-US"/>
        </w:rPr>
      </w:pPr>
      <w:r w:rsidRPr="00615ADF">
        <w:rPr>
          <w:rFonts w:ascii="Garamond" w:hAnsi="Garamond"/>
        </w:rPr>
        <w:t xml:space="preserve">The FRCs </w:t>
      </w:r>
      <w:proofErr w:type="gramStart"/>
      <w:r w:rsidRPr="00615ADF">
        <w:rPr>
          <w:rFonts w:ascii="Garamond" w:hAnsi="Garamond"/>
        </w:rPr>
        <w:t>were</w:t>
      </w:r>
      <w:proofErr w:type="gramEnd"/>
      <w:r w:rsidRPr="00615ADF">
        <w:rPr>
          <w:rFonts w:ascii="Garamond" w:hAnsi="Garamond"/>
        </w:rPr>
        <w:t xml:space="preserve"> designed to be highly visible and accessible. They were strategically placed and generally close to public transport. </w:t>
      </w:r>
      <w:r w:rsidR="002256CE">
        <w:rPr>
          <w:rFonts w:ascii="Garamond" w:hAnsi="Garamond"/>
        </w:rPr>
        <w:t>Managing and staffing FRCs was</w:t>
      </w:r>
      <w:r w:rsidRPr="00615ADF">
        <w:rPr>
          <w:rFonts w:ascii="Garamond" w:hAnsi="Garamond"/>
        </w:rPr>
        <w:t xml:space="preserve"> </w:t>
      </w:r>
      <w:r w:rsidR="002256CE">
        <w:rPr>
          <w:rFonts w:ascii="Garamond" w:hAnsi="Garamond"/>
        </w:rPr>
        <w:t>awarded</w:t>
      </w:r>
      <w:r w:rsidRPr="00615ADF">
        <w:rPr>
          <w:rFonts w:ascii="Garamond" w:hAnsi="Garamond"/>
        </w:rPr>
        <w:t xml:space="preserve"> </w:t>
      </w:r>
      <w:r w:rsidR="00950136">
        <w:rPr>
          <w:rFonts w:ascii="Garamond" w:hAnsi="Garamond"/>
        </w:rPr>
        <w:t xml:space="preserve">to </w:t>
      </w:r>
      <w:r w:rsidRPr="00615ADF">
        <w:rPr>
          <w:rFonts w:ascii="Garamond" w:hAnsi="Garamond"/>
        </w:rPr>
        <w:t>NGOs after a competitive tendering process. But importantly, no matter which organisation was successful, all FRCs carried the same logo that in time became increasingly recognisable</w:t>
      </w:r>
      <w:r w:rsidR="00950136">
        <w:rPr>
          <w:rFonts w:ascii="Garamond" w:hAnsi="Garamond"/>
        </w:rPr>
        <w:t xml:space="preserve"> as the ‘go to’ point if you were separated and in dispute about your children.</w:t>
      </w:r>
    </w:p>
    <w:p w14:paraId="6D119B18" w14:textId="77777777" w:rsidR="00EE5689" w:rsidRPr="00615ADF" w:rsidRDefault="00EE5689" w:rsidP="00FA0364">
      <w:pPr>
        <w:pStyle w:val="Default"/>
      </w:pPr>
    </w:p>
    <w:p w14:paraId="656A53C4" w14:textId="415A7731" w:rsidR="00D924AC" w:rsidRDefault="00EE5689" w:rsidP="00FA0364">
      <w:pPr>
        <w:pStyle w:val="Default"/>
      </w:pPr>
      <w:r>
        <w:t xml:space="preserve">There isn’t time to explain how Family Relationship </w:t>
      </w:r>
      <w:proofErr w:type="spellStart"/>
      <w:r>
        <w:t>Centres</w:t>
      </w:r>
      <w:proofErr w:type="spellEnd"/>
      <w:r>
        <w:t xml:space="preserve"> came about in Australia. If you are keen to follow this up, you could do worse than read the article by Patrick</w:t>
      </w:r>
      <w:r w:rsidR="00B97A27">
        <w:t xml:space="preserve"> Parkinson</w:t>
      </w:r>
      <w:r w:rsidR="004356D7">
        <w:t xml:space="preserve"> in the list of references</w:t>
      </w:r>
      <w:r w:rsidR="00BC21DF">
        <w:t xml:space="preserve">. </w:t>
      </w:r>
      <w:r w:rsidR="00F8721A">
        <w:t>Basically</w:t>
      </w:r>
      <w:r w:rsidR="00B97A27">
        <w:t>,</w:t>
      </w:r>
      <w:r w:rsidR="00F8721A">
        <w:t xml:space="preserve"> Patrick sold the idea</w:t>
      </w:r>
      <w:r w:rsidR="00B97A27">
        <w:t xml:space="preserve"> to the Prime Minister</w:t>
      </w:r>
      <w:r w:rsidR="00F8721A">
        <w:t xml:space="preserve"> after the Prime Minister had (probably astutely) rejected a recommendation from a join</w:t>
      </w:r>
      <w:r w:rsidR="007029CA">
        <w:t>t parliamentary inquiry</w:t>
      </w:r>
      <w:r w:rsidR="00C102EE">
        <w:t xml:space="preserve"> (</w:t>
      </w:r>
      <w:r w:rsidR="008714BA" w:rsidRPr="008714BA">
        <w:rPr>
          <w:lang w:val="en-AU"/>
        </w:rPr>
        <w:t>House of Representatives Standing Committee o</w:t>
      </w:r>
      <w:r w:rsidR="008714BA">
        <w:rPr>
          <w:lang w:val="en-AU"/>
        </w:rPr>
        <w:t xml:space="preserve">n Family and Community Affairs </w:t>
      </w:r>
      <w:r w:rsidR="008714BA" w:rsidRPr="008714BA">
        <w:rPr>
          <w:lang w:val="en-AU"/>
        </w:rPr>
        <w:t>2003</w:t>
      </w:r>
      <w:r w:rsidR="00C102EE">
        <w:t>)</w:t>
      </w:r>
      <w:r w:rsidR="007029CA">
        <w:t xml:space="preserve"> </w:t>
      </w:r>
      <w:proofErr w:type="gramStart"/>
      <w:r w:rsidR="007029CA">
        <w:t>that in children’s matters, the court be replaced by multi</w:t>
      </w:r>
      <w:r w:rsidR="00364DA1">
        <w:t>-</w:t>
      </w:r>
      <w:r w:rsidR="007029CA">
        <w:t xml:space="preserve"> disciplinary tribunal</w:t>
      </w:r>
      <w:proofErr w:type="gramEnd"/>
      <w:r w:rsidR="00364DA1">
        <w:t xml:space="preserve"> (Australian Government 2005)</w:t>
      </w:r>
      <w:r w:rsidR="007029CA">
        <w:t xml:space="preserve">. Like Lionel Murphy 30 years earlier, the parliamentarians in this enquiry </w:t>
      </w:r>
      <w:r w:rsidR="00F8721A">
        <w:t xml:space="preserve">had </w:t>
      </w:r>
      <w:r w:rsidR="00B747F3">
        <w:t>been highly critical of legal</w:t>
      </w:r>
      <w:r w:rsidR="00D924AC">
        <w:t xml:space="preserve"> adversarial</w:t>
      </w:r>
      <w:r w:rsidR="00B747F3">
        <w:t xml:space="preserve"> processes</w:t>
      </w:r>
      <w:r w:rsidR="00D924AC">
        <w:t xml:space="preserve">. Their report had more or less assumed if you removed lawyers from the scene or at least diminished their influence, for most families, all would be well. </w:t>
      </w:r>
    </w:p>
    <w:p w14:paraId="77BD20CE" w14:textId="77777777" w:rsidR="00E80411" w:rsidRDefault="00E80411" w:rsidP="00FA0364">
      <w:pPr>
        <w:pStyle w:val="Default"/>
      </w:pPr>
    </w:p>
    <w:p w14:paraId="33D274FB" w14:textId="53DA3ECB" w:rsidR="00D924AC" w:rsidRDefault="00D924AC" w:rsidP="00FA0364">
      <w:pPr>
        <w:pStyle w:val="Default"/>
      </w:pPr>
      <w:r>
        <w:t>Our Pr</w:t>
      </w:r>
      <w:r w:rsidR="00F1762E">
        <w:t xml:space="preserve">ime Minister did not buy the argument. </w:t>
      </w:r>
      <w:r w:rsidR="00BC21DF">
        <w:t>At</w:t>
      </w:r>
      <w:r>
        <w:t xml:space="preserve"> the same time</w:t>
      </w:r>
      <w:r w:rsidR="00BC21DF">
        <w:t xml:space="preserve"> however</w:t>
      </w:r>
      <w:r>
        <w:t>, he was astute enough to recognize</w:t>
      </w:r>
      <w:r w:rsidR="00F1762E">
        <w:t xml:space="preserve"> that more of the same was not</w:t>
      </w:r>
      <w:r>
        <w:t xml:space="preserve"> an acceptable outcome from </w:t>
      </w:r>
      <w:r w:rsidR="008714BA">
        <w:t xml:space="preserve">what had been an extensive parliamentary </w:t>
      </w:r>
      <w:r>
        <w:t>inquiry.</w:t>
      </w:r>
    </w:p>
    <w:p w14:paraId="1024717A" w14:textId="77777777" w:rsidR="00D924AC" w:rsidRDefault="00D924AC" w:rsidP="00FA0364">
      <w:pPr>
        <w:pStyle w:val="Default"/>
      </w:pPr>
    </w:p>
    <w:p w14:paraId="5777C65A" w14:textId="0C4630B2" w:rsidR="00EE5689" w:rsidRDefault="00B97A27" w:rsidP="00FA0364">
      <w:pPr>
        <w:pStyle w:val="Default"/>
      </w:pPr>
      <w:r>
        <w:t xml:space="preserve">I think the creation of </w:t>
      </w:r>
      <w:r w:rsidR="00F1762E">
        <w:t xml:space="preserve">these </w:t>
      </w:r>
      <w:r>
        <w:t>FRCs in strategic locations around Australia was an act of genius. Although just li</w:t>
      </w:r>
      <w:r w:rsidR="00E80411">
        <w:t xml:space="preserve">ke Lionel Murphy we had very little empirical </w:t>
      </w:r>
      <w:r>
        <w:t xml:space="preserve">evidence, I think </w:t>
      </w:r>
      <w:r w:rsidR="00D924AC">
        <w:t xml:space="preserve">it had been </w:t>
      </w:r>
      <w:r>
        <w:t>intuitively recognized</w:t>
      </w:r>
      <w:r w:rsidR="00D924AC">
        <w:t xml:space="preserve"> by the committee of inquiry</w:t>
      </w:r>
      <w:r w:rsidR="001201C3">
        <w:t xml:space="preserve"> </w:t>
      </w:r>
      <w:r>
        <w:t>that many of the disputes</w:t>
      </w:r>
      <w:r w:rsidR="00E80411">
        <w:t xml:space="preserve"> that had been</w:t>
      </w:r>
      <w:r>
        <w:t xml:space="preserve"> hanging around the edges of courts and being batted back and forward between lawyers were at their heart, being driven by interpersonal problems between parents.</w:t>
      </w:r>
      <w:r w:rsidR="00166113">
        <w:t xml:space="preserve"> </w:t>
      </w:r>
      <w:r w:rsidR="002635D1">
        <w:t>It’s perhaps an oversimplification to put it this way. But basically,</w:t>
      </w:r>
      <w:r w:rsidR="00B113E0">
        <w:t xml:space="preserve"> </w:t>
      </w:r>
      <w:r w:rsidR="00BC4449">
        <w:t>our</w:t>
      </w:r>
      <w:r w:rsidR="00B113E0">
        <w:t xml:space="preserve"> focus needed to move away from </w:t>
      </w:r>
      <w:r w:rsidR="00EC125D">
        <w:t xml:space="preserve">primarily </w:t>
      </w:r>
      <w:r w:rsidR="00B113E0">
        <w:t>legal</w:t>
      </w:r>
      <w:r w:rsidR="00EC125D">
        <w:t xml:space="preserve"> processes and legal</w:t>
      </w:r>
      <w:r w:rsidR="00B113E0">
        <w:t xml:space="preserve"> solutions</w:t>
      </w:r>
      <w:r w:rsidR="00EC125D">
        <w:t>,</w:t>
      </w:r>
      <w:r w:rsidR="00B113E0">
        <w:t xml:space="preserve"> towards</w:t>
      </w:r>
      <w:r w:rsidR="00EC125D">
        <w:t xml:space="preserve"> processes and</w:t>
      </w:r>
      <w:r w:rsidR="00B113E0">
        <w:t xml:space="preserve"> solutions that acknowledged and worked with difficulties in relationships</w:t>
      </w:r>
      <w:r w:rsidR="00D924AC">
        <w:t xml:space="preserve"> and through that, came to solutions for children.</w:t>
      </w:r>
    </w:p>
    <w:p w14:paraId="1263EC4F" w14:textId="77777777" w:rsidR="00166113" w:rsidRDefault="00166113" w:rsidP="00FA0364">
      <w:pPr>
        <w:pStyle w:val="Default"/>
      </w:pPr>
    </w:p>
    <w:p w14:paraId="39A9C527" w14:textId="30FA1BCB" w:rsidR="00C246A9" w:rsidRPr="00C246A9" w:rsidRDefault="00364DA1" w:rsidP="00FA0364">
      <w:pPr>
        <w:pStyle w:val="Default"/>
        <w:rPr>
          <w:b/>
        </w:rPr>
      </w:pPr>
      <w:r>
        <w:rPr>
          <w:b/>
        </w:rPr>
        <w:t>S</w:t>
      </w:r>
      <w:r w:rsidR="00C246A9" w:rsidRPr="00C246A9">
        <w:rPr>
          <w:b/>
        </w:rPr>
        <w:t>lide</w:t>
      </w:r>
      <w:r>
        <w:rPr>
          <w:b/>
        </w:rPr>
        <w:t xml:space="preserve"> 12</w:t>
      </w:r>
    </w:p>
    <w:p w14:paraId="40FD4A93" w14:textId="77777777" w:rsidR="00C246A9" w:rsidRDefault="00C246A9" w:rsidP="00FA0364">
      <w:pPr>
        <w:pStyle w:val="Default"/>
      </w:pPr>
    </w:p>
    <w:p w14:paraId="06A7D051" w14:textId="6C86D422" w:rsidR="00BC4449" w:rsidRDefault="001201C3" w:rsidP="00FA0364">
      <w:pPr>
        <w:pStyle w:val="Default"/>
      </w:pPr>
      <w:r>
        <w:t>I also think that</w:t>
      </w:r>
      <w:r w:rsidR="00850032">
        <w:t xml:space="preserve"> in the mind of many, the main function of</w:t>
      </w:r>
      <w:r>
        <w:t xml:space="preserve"> </w:t>
      </w:r>
      <w:r w:rsidR="00166113">
        <w:t xml:space="preserve">FRCs </w:t>
      </w:r>
      <w:r w:rsidR="00850032">
        <w:t>would be</w:t>
      </w:r>
      <w:r w:rsidR="00166113">
        <w:t xml:space="preserve"> to pluck the relatively </w:t>
      </w:r>
      <w:r w:rsidR="00850032">
        <w:t>‘</w:t>
      </w:r>
      <w:r w:rsidR="00166113">
        <w:t>low hanging fruit</w:t>
      </w:r>
      <w:r w:rsidR="00850032">
        <w:t xml:space="preserve">’ – those cases that were spilling over into litigation and litigation processes </w:t>
      </w:r>
      <w:r w:rsidR="00407A35">
        <w:t>when they didn’t need to. This happened to some extent, but the Evaluation</w:t>
      </w:r>
      <w:r w:rsidR="00950136">
        <w:t xml:space="preserve"> also</w:t>
      </w:r>
      <w:r w:rsidR="00407A35">
        <w:t xml:space="preserve"> suggests that the story is a little more complicated. It had been generally thought that</w:t>
      </w:r>
      <w:r w:rsidR="002635D1">
        <w:t xml:space="preserve"> m</w:t>
      </w:r>
      <w:r w:rsidR="00166113">
        <w:t xml:space="preserve">andatory mediation </w:t>
      </w:r>
      <w:r w:rsidR="00407A35">
        <w:t>would be inappropriate</w:t>
      </w:r>
      <w:r w:rsidR="00166113">
        <w:t xml:space="preserve"> if there had been violence in the relationship</w:t>
      </w:r>
      <w:r w:rsidR="00407A35">
        <w:t>. But</w:t>
      </w:r>
      <w:r w:rsidR="002635D1">
        <w:t xml:space="preserve"> </w:t>
      </w:r>
      <w:r w:rsidR="00C246A9">
        <w:t xml:space="preserve">as </w:t>
      </w:r>
      <w:proofErr w:type="gramStart"/>
      <w:r w:rsidR="00C246A9">
        <w:t>this slide shows</w:t>
      </w:r>
      <w:proofErr w:type="gramEnd"/>
      <w:r w:rsidR="00C246A9">
        <w:t xml:space="preserve">, </w:t>
      </w:r>
      <w:r w:rsidR="002635D1">
        <w:t>it quickly became apparent that if you took this idea literally, the FRCs would have had very little</w:t>
      </w:r>
      <w:r w:rsidR="00EC125D">
        <w:t xml:space="preserve"> mediation</w:t>
      </w:r>
      <w:r w:rsidR="002635D1">
        <w:t xml:space="preserve"> work to do. O</w:t>
      </w:r>
      <w:r>
        <w:t>ur evaluation</w:t>
      </w:r>
      <w:r w:rsidR="002635D1">
        <w:t xml:space="preserve"> </w:t>
      </w:r>
      <w:r w:rsidR="00BC4449">
        <w:t>contained a number of surprises, some of which were in tension with each other.</w:t>
      </w:r>
      <w:r w:rsidR="002635D1">
        <w:t xml:space="preserve"> </w:t>
      </w:r>
      <w:r w:rsidR="00BC4449">
        <w:t>For example as I said,</w:t>
      </w:r>
      <w:r w:rsidR="002635D1">
        <w:t xml:space="preserve"> </w:t>
      </w:r>
      <w:r w:rsidR="00407A35">
        <w:t xml:space="preserve">we found that </w:t>
      </w:r>
      <w:r w:rsidR="002635D1">
        <w:t>a majority of separated parents</w:t>
      </w:r>
      <w:r w:rsidR="00407A35">
        <w:t xml:space="preserve"> said they</w:t>
      </w:r>
      <w:r w:rsidR="002635D1">
        <w:t xml:space="preserve"> had experienced some form of violence before</w:t>
      </w:r>
      <w:r w:rsidR="00407A35">
        <w:t>, during</w:t>
      </w:r>
      <w:r w:rsidR="002635D1">
        <w:t xml:space="preserve"> or after separation. But as we have</w:t>
      </w:r>
      <w:r w:rsidR="00BC4449">
        <w:t xml:space="preserve"> also</w:t>
      </w:r>
      <w:r w:rsidR="002635D1">
        <w:t xml:space="preserve"> seen, within just over a year </w:t>
      </w:r>
      <w:r w:rsidR="002D59C7">
        <w:t>from separation, a</w:t>
      </w:r>
      <w:r w:rsidR="00BC4449">
        <w:t xml:space="preserve"> considerable</w:t>
      </w:r>
      <w:r w:rsidR="002D59C7">
        <w:t xml:space="preserve"> majority was</w:t>
      </w:r>
      <w:r w:rsidR="002635D1">
        <w:t xml:space="preserve"> also reporting friend</w:t>
      </w:r>
      <w:r w:rsidR="002D59C7">
        <w:t xml:space="preserve">ly or cooperative relationships. </w:t>
      </w:r>
    </w:p>
    <w:p w14:paraId="70122BAF" w14:textId="77777777" w:rsidR="00BC4449" w:rsidRDefault="00BC4449" w:rsidP="00FA0364">
      <w:pPr>
        <w:pStyle w:val="Default"/>
      </w:pPr>
    </w:p>
    <w:p w14:paraId="37017970" w14:textId="0D48FBFB" w:rsidR="00E80411" w:rsidRDefault="002D59C7" w:rsidP="00FA0364">
      <w:pPr>
        <w:pStyle w:val="Default"/>
      </w:pPr>
      <w:r>
        <w:t>Another surprise was that when it came to describing the</w:t>
      </w:r>
      <w:r w:rsidR="0055415D">
        <w:t>ir</w:t>
      </w:r>
      <w:r>
        <w:t xml:space="preserve"> main pathway to reso</w:t>
      </w:r>
      <w:r w:rsidR="00BC4449">
        <w:t>lution</w:t>
      </w:r>
      <w:r w:rsidR="0055415D">
        <w:t xml:space="preserve"> of their dispute,</w:t>
      </w:r>
      <w:r w:rsidR="00BC4449">
        <w:t xml:space="preserve"> a large majority said that </w:t>
      </w:r>
      <w:r w:rsidR="0055415D">
        <w:t xml:space="preserve">it </w:t>
      </w:r>
      <w:r w:rsidR="00BC4449">
        <w:t xml:space="preserve">came about </w:t>
      </w:r>
      <w:r>
        <w:t>through direct discussions between themselves or that ‘it just happened”.</w:t>
      </w:r>
      <w:r w:rsidR="001201C3">
        <w:t xml:space="preserve"> </w:t>
      </w:r>
      <w:r>
        <w:t>Parents</w:t>
      </w:r>
      <w:r w:rsidR="00166113">
        <w:t xml:space="preserve"> who</w:t>
      </w:r>
      <w:r>
        <w:t xml:space="preserve"> said that their main resolution pathway was</w:t>
      </w:r>
      <w:r w:rsidR="00166113">
        <w:t xml:space="preserve"> </w:t>
      </w:r>
      <w:r w:rsidR="001201C3">
        <w:t>courts</w:t>
      </w:r>
      <w:r>
        <w:t>,</w:t>
      </w:r>
      <w:r w:rsidR="00166113">
        <w:t xml:space="preserve"> </w:t>
      </w:r>
      <w:r w:rsidR="001201C3">
        <w:t xml:space="preserve">lawyers </w:t>
      </w:r>
      <w:r>
        <w:t>or</w:t>
      </w:r>
      <w:r w:rsidR="001201C3">
        <w:t xml:space="preserve"> relationship services</w:t>
      </w:r>
      <w:r w:rsidR="0055415D">
        <w:t xml:space="preserve"> - </w:t>
      </w:r>
      <w:r>
        <w:t>including mediation</w:t>
      </w:r>
      <w:r w:rsidR="0055415D">
        <w:t xml:space="preserve"> -</w:t>
      </w:r>
      <w:r w:rsidR="001201C3">
        <w:t xml:space="preserve"> </w:t>
      </w:r>
      <w:r w:rsidR="00BC4449">
        <w:t>were very much</w:t>
      </w:r>
      <w:r>
        <w:t xml:space="preserve"> in a minority</w:t>
      </w:r>
      <w:r w:rsidR="00BC4449">
        <w:t xml:space="preserve">. </w:t>
      </w:r>
      <w:r w:rsidR="0055415D">
        <w:t xml:space="preserve">Though they were considerably more likely to have experienced family violence, violence was not </w:t>
      </w:r>
      <w:r w:rsidR="0055415D" w:rsidRPr="0055415D">
        <w:rPr>
          <w:i/>
        </w:rPr>
        <w:t>necessarily</w:t>
      </w:r>
      <w:r w:rsidR="0055415D">
        <w:t xml:space="preserve"> a barrier to eventual good relationships or successful direct negotiations. </w:t>
      </w:r>
    </w:p>
    <w:p w14:paraId="147C6E2D" w14:textId="77777777" w:rsidR="001201C3" w:rsidRDefault="001201C3" w:rsidP="00FA0364">
      <w:pPr>
        <w:pStyle w:val="Default"/>
        <w:rPr>
          <w:b/>
        </w:rPr>
      </w:pPr>
    </w:p>
    <w:p w14:paraId="6673FE79" w14:textId="24C97747" w:rsidR="00E80411" w:rsidRDefault="00364DA1" w:rsidP="00FA0364">
      <w:pPr>
        <w:pStyle w:val="Default"/>
      </w:pPr>
      <w:r>
        <w:rPr>
          <w:b/>
        </w:rPr>
        <w:t>Slide 13</w:t>
      </w:r>
    </w:p>
    <w:p w14:paraId="754B1E2C" w14:textId="77777777" w:rsidR="001201C3" w:rsidRDefault="001201C3" w:rsidP="00FA0364">
      <w:pPr>
        <w:pStyle w:val="Default"/>
      </w:pPr>
    </w:p>
    <w:p w14:paraId="57B76AF3" w14:textId="1B9F1701" w:rsidR="001201C3" w:rsidRDefault="003F5F59" w:rsidP="00FA0364">
      <w:pPr>
        <w:pStyle w:val="Default"/>
      </w:pPr>
      <w:r>
        <w:t xml:space="preserve">You will remember that in the original evaluation (see Slide 4) we surveyed lawyers </w:t>
      </w:r>
      <w:r w:rsidR="002D43EA">
        <w:t>prior to and after the 2006 reforms. We found that at these points in time, many</w:t>
      </w:r>
      <w:r w:rsidR="00701A7C">
        <w:t xml:space="preserve"> lawyers</w:t>
      </w:r>
      <w:r w:rsidR="00E80411">
        <w:t xml:space="preserve"> were skeptical about the</w:t>
      </w:r>
      <w:r w:rsidR="00701A7C">
        <w:t xml:space="preserve"> potential</w:t>
      </w:r>
      <w:r w:rsidR="00E80411">
        <w:t xml:space="preserve"> usefulness of</w:t>
      </w:r>
      <w:r w:rsidR="00166113">
        <w:t xml:space="preserve"> FRCs</w:t>
      </w:r>
      <w:r w:rsidR="00701A7C">
        <w:t>.</w:t>
      </w:r>
      <w:r w:rsidR="002D59C7">
        <w:t xml:space="preserve"> Some thought that non-lawyers had no business being in this area of work. S</w:t>
      </w:r>
      <w:r w:rsidR="00701A7C">
        <w:t xml:space="preserve">ome thought </w:t>
      </w:r>
      <w:proofErr w:type="gramStart"/>
      <w:r w:rsidR="002D59C7">
        <w:t xml:space="preserve">FRCs </w:t>
      </w:r>
      <w:r w:rsidR="00166113">
        <w:t>would be used mainly by those who would have settled their disputes anyhow</w:t>
      </w:r>
      <w:proofErr w:type="gramEnd"/>
      <w:r w:rsidR="00166113">
        <w:t>. But as we can see from th</w:t>
      </w:r>
      <w:r w:rsidR="001201C3">
        <w:t xml:space="preserve">is slide (the ‘combined courts’ top line is what matters here), </w:t>
      </w:r>
      <w:r w:rsidR="0055415D">
        <w:t xml:space="preserve">we found </w:t>
      </w:r>
      <w:r w:rsidR="001201C3">
        <w:t>there was a considerable drop in litigation over children after the 2006 reforms</w:t>
      </w:r>
      <w:r w:rsidR="002D43EA">
        <w:t xml:space="preserve"> -</w:t>
      </w:r>
      <w:r w:rsidR="001201C3">
        <w:t xml:space="preserve"> and</w:t>
      </w:r>
      <w:r w:rsidR="0055415D">
        <w:t xml:space="preserve"> that the biggest drop coincided</w:t>
      </w:r>
      <w:r w:rsidR="001201C3">
        <w:t xml:space="preserve"> with the completion </w:t>
      </w:r>
      <w:r w:rsidR="00305CD6">
        <w:t xml:space="preserve">of the roll out of all 65 FRCs </w:t>
      </w:r>
      <w:r w:rsidR="001201C3">
        <w:t xml:space="preserve">in 2008. </w:t>
      </w:r>
      <w:r w:rsidR="00166113">
        <w:t xml:space="preserve"> </w:t>
      </w:r>
    </w:p>
    <w:p w14:paraId="1F372524" w14:textId="77777777" w:rsidR="0055415D" w:rsidRDefault="0055415D" w:rsidP="00FA0364">
      <w:pPr>
        <w:pStyle w:val="Default"/>
        <w:rPr>
          <w:b/>
        </w:rPr>
      </w:pPr>
    </w:p>
    <w:p w14:paraId="2BEE4C14" w14:textId="63F2D6CC" w:rsidR="001201C3" w:rsidRDefault="002D43EA" w:rsidP="00FA0364">
      <w:pPr>
        <w:pStyle w:val="Default"/>
        <w:rPr>
          <w:b/>
        </w:rPr>
      </w:pPr>
      <w:r>
        <w:rPr>
          <w:b/>
        </w:rPr>
        <w:t>Slide 14</w:t>
      </w:r>
    </w:p>
    <w:p w14:paraId="2198977E" w14:textId="77777777" w:rsidR="0055415D" w:rsidRDefault="0055415D" w:rsidP="00FA0364">
      <w:pPr>
        <w:pStyle w:val="Default"/>
      </w:pPr>
    </w:p>
    <w:p w14:paraId="13D47F2D" w14:textId="0118AC0A" w:rsidR="00305CD6" w:rsidRDefault="002D43EA" w:rsidP="00FA0364">
      <w:pPr>
        <w:pStyle w:val="Default"/>
      </w:pPr>
      <w:r>
        <w:t xml:space="preserve">And as </w:t>
      </w:r>
      <w:proofErr w:type="gramStart"/>
      <w:r>
        <w:t xml:space="preserve">this slide </w:t>
      </w:r>
      <w:r w:rsidR="00305CD6">
        <w:t>shows</w:t>
      </w:r>
      <w:proofErr w:type="gramEnd"/>
      <w:r w:rsidR="00305CD6">
        <w:t>, we were also able to demonstrate at the time that FRCs were doin</w:t>
      </w:r>
      <w:r>
        <w:t xml:space="preserve">g the bulk of the mediations (FDR). Indeed the slide shows that FRCs </w:t>
      </w:r>
      <w:proofErr w:type="gramStart"/>
      <w:r>
        <w:t>have</w:t>
      </w:r>
      <w:proofErr w:type="gramEnd"/>
      <w:r>
        <w:t xml:space="preserve"> accounted for an increasing proportion of the FDR work </w:t>
      </w:r>
      <w:r w:rsidR="00337F0D">
        <w:t>over time.</w:t>
      </w:r>
    </w:p>
    <w:p w14:paraId="2A2CB69B" w14:textId="77777777" w:rsidR="00337F0D" w:rsidRDefault="00337F0D" w:rsidP="00FA0364">
      <w:pPr>
        <w:pStyle w:val="Default"/>
      </w:pPr>
    </w:p>
    <w:p w14:paraId="10662710" w14:textId="5B04D878" w:rsidR="00337F0D" w:rsidRPr="00337F0D" w:rsidRDefault="002D43EA" w:rsidP="00FA0364">
      <w:pPr>
        <w:pStyle w:val="Default"/>
        <w:rPr>
          <w:b/>
        </w:rPr>
      </w:pPr>
      <w:r>
        <w:rPr>
          <w:b/>
        </w:rPr>
        <w:t>Slide 15</w:t>
      </w:r>
    </w:p>
    <w:p w14:paraId="4BC4DE0C" w14:textId="77777777" w:rsidR="00305CD6" w:rsidRDefault="00305CD6" w:rsidP="00FA0364">
      <w:pPr>
        <w:pStyle w:val="Default"/>
      </w:pPr>
    </w:p>
    <w:p w14:paraId="3D32D6DC" w14:textId="7B8B6CA2" w:rsidR="00932C2C" w:rsidRDefault="001201C3" w:rsidP="00FA0364">
      <w:pPr>
        <w:pStyle w:val="Default"/>
      </w:pPr>
      <w:r>
        <w:t>Now</w:t>
      </w:r>
      <w:r w:rsidR="00932C2C">
        <w:t xml:space="preserve"> going back to the previous slide,</w:t>
      </w:r>
      <w:r>
        <w:t xml:space="preserve"> w</w:t>
      </w:r>
      <w:r w:rsidR="00166113">
        <w:t>hen the</w:t>
      </w:r>
      <w:r w:rsidR="00932C2C">
        <w:t xml:space="preserve"> first </w:t>
      </w:r>
      <w:proofErr w:type="gramStart"/>
      <w:r w:rsidR="00932C2C">
        <w:t>lot of court</w:t>
      </w:r>
      <w:r w:rsidR="00166113">
        <w:t xml:space="preserve"> data were</w:t>
      </w:r>
      <w:proofErr w:type="gramEnd"/>
      <w:r w:rsidR="00166113">
        <w:t xml:space="preserve"> r</w:t>
      </w:r>
      <w:r w:rsidR="00F03D50">
        <w:t>eleased in 2009, some people were quite understandably</w:t>
      </w:r>
      <w:r w:rsidR="007128B2">
        <w:t xml:space="preserve"> skeptical</w:t>
      </w:r>
      <w:r w:rsidR="00F03D50">
        <w:t xml:space="preserve"> about the sustainability of this drop off in the proportion of children’s cases ending up in court</w:t>
      </w:r>
      <w:r w:rsidR="007128B2">
        <w:t xml:space="preserve">. </w:t>
      </w:r>
      <w:r w:rsidR="00932C2C" w:rsidRPr="00932C2C">
        <w:t>M</w:t>
      </w:r>
      <w:r w:rsidR="007128B2">
        <w:t>aybe what we were seeing was a blip – perhaps a Hawthorne Effect associated with</w:t>
      </w:r>
      <w:r w:rsidR="00701A7C">
        <w:t xml:space="preserve"> all the publicity</w:t>
      </w:r>
      <w:r w:rsidR="00F03D50">
        <w:t xml:space="preserve"> associated with the reforms</w:t>
      </w:r>
      <w:proofErr w:type="gramStart"/>
      <w:r w:rsidR="00F03D50">
        <w:t>;</w:t>
      </w:r>
      <w:proofErr w:type="gramEnd"/>
      <w:r w:rsidR="00932C2C">
        <w:t xml:space="preserve"> or perhaps a one-</w:t>
      </w:r>
      <w:r w:rsidR="00701A7C">
        <w:t>off</w:t>
      </w:r>
      <w:r w:rsidR="007128B2">
        <w:t xml:space="preserve"> response from </w:t>
      </w:r>
      <w:r w:rsidR="00701A7C">
        <w:t>those</w:t>
      </w:r>
      <w:r w:rsidR="007128B2">
        <w:t xml:space="preserve"> who had been waiting for the 2006 reforms. </w:t>
      </w:r>
    </w:p>
    <w:p w14:paraId="168CE279" w14:textId="77777777" w:rsidR="00932C2C" w:rsidRDefault="00932C2C" w:rsidP="00FA0364">
      <w:pPr>
        <w:pStyle w:val="Default"/>
        <w:rPr>
          <w:b/>
        </w:rPr>
      </w:pPr>
    </w:p>
    <w:p w14:paraId="046CD828" w14:textId="300FF650" w:rsidR="00932C2C" w:rsidRPr="00932C2C" w:rsidRDefault="00F03D50" w:rsidP="00FA0364">
      <w:pPr>
        <w:pStyle w:val="Default"/>
        <w:rPr>
          <w:b/>
        </w:rPr>
      </w:pPr>
      <w:r>
        <w:rPr>
          <w:b/>
        </w:rPr>
        <w:t>Slide 16</w:t>
      </w:r>
    </w:p>
    <w:p w14:paraId="35D8FF52" w14:textId="77777777" w:rsidR="00932C2C" w:rsidRDefault="00932C2C" w:rsidP="00FA0364">
      <w:pPr>
        <w:pStyle w:val="Default"/>
      </w:pPr>
    </w:p>
    <w:p w14:paraId="1E6D523E" w14:textId="0C1B4B8B" w:rsidR="00166113" w:rsidRPr="00932C2C" w:rsidRDefault="007128B2" w:rsidP="00FA0364">
      <w:pPr>
        <w:pStyle w:val="Default"/>
        <w:rPr>
          <w:b/>
        </w:rPr>
      </w:pPr>
      <w:r>
        <w:t>That’s why longe</w:t>
      </w:r>
      <w:r w:rsidR="00932C2C">
        <w:t>r-term data ha</w:t>
      </w:r>
      <w:r w:rsidR="00950136">
        <w:t>ve again</w:t>
      </w:r>
      <w:r w:rsidR="00932C2C">
        <w:t xml:space="preserve"> been important. In this slide, the first study is the one we just looked at, which only takes us to 2009. The other two studies are longer term. </w:t>
      </w:r>
      <w:r>
        <w:t xml:space="preserve">I could </w:t>
      </w:r>
      <w:r w:rsidRPr="007128B2">
        <w:t>talk about why I think there might be discrepancies in these figures</w:t>
      </w:r>
      <w:r>
        <w:t>, but I</w:t>
      </w:r>
      <w:r w:rsidR="00701A7C">
        <w:t xml:space="preserve"> think the overall connection between</w:t>
      </w:r>
      <w:r w:rsidR="00F75A40">
        <w:t xml:space="preserve"> mandatory mediation,</w:t>
      </w:r>
      <w:r w:rsidR="00701A7C">
        <w:t xml:space="preserve"> FRCs and a significant drop in court hearings over children</w:t>
      </w:r>
      <w:r>
        <w:t xml:space="preserve"> is now firmly established.</w:t>
      </w:r>
    </w:p>
    <w:p w14:paraId="24E7062D" w14:textId="77777777" w:rsidR="002D59C7" w:rsidRDefault="002D59C7" w:rsidP="00FA0364">
      <w:pPr>
        <w:pStyle w:val="Default"/>
      </w:pPr>
    </w:p>
    <w:p w14:paraId="05BA2B79" w14:textId="0461AF1F" w:rsidR="00112C62" w:rsidRDefault="00337F0D" w:rsidP="00FA0364">
      <w:pPr>
        <w:pStyle w:val="Default"/>
        <w:rPr>
          <w:lang w:val="en-AU"/>
        </w:rPr>
      </w:pPr>
      <w:r>
        <w:t>I’m</w:t>
      </w:r>
      <w:r w:rsidR="00FE7B73">
        <w:t xml:space="preserve"> </w:t>
      </w:r>
      <w:r>
        <w:t xml:space="preserve">pleased to report that </w:t>
      </w:r>
      <w:r w:rsidR="002D59C7">
        <w:t>FRCs</w:t>
      </w:r>
      <w:r w:rsidR="00A01522">
        <w:t xml:space="preserve"> have also</w:t>
      </w:r>
      <w:r w:rsidR="000D2627">
        <w:t xml:space="preserve"> become broadly</w:t>
      </w:r>
      <w:r w:rsidR="005F7AA5">
        <w:t xml:space="preserve"> accepted by family lawyers. </w:t>
      </w:r>
      <w:r w:rsidR="0034552E">
        <w:t>For example, when</w:t>
      </w:r>
      <w:r w:rsidR="005F7AA5">
        <w:t xml:space="preserve"> Government </w:t>
      </w:r>
      <w:r w:rsidR="008D4015">
        <w:t>provided</w:t>
      </w:r>
      <w:r w:rsidR="005F7AA5">
        <w:t xml:space="preserve"> a</w:t>
      </w:r>
      <w:r w:rsidR="008D4015">
        <w:t xml:space="preserve"> very</w:t>
      </w:r>
      <w:r w:rsidR="005F7AA5">
        <w:t xml:space="preserve"> modest amount of money for FRCs and legal services to form local partnerships with each other on a voluntary basis</w:t>
      </w:r>
      <w:r w:rsidR="008D4015">
        <w:t xml:space="preserve">, 64 out of 65 took up the offer. </w:t>
      </w:r>
      <w:r w:rsidR="0034552E">
        <w:t>The AIFS</w:t>
      </w:r>
      <w:r w:rsidR="008D4015">
        <w:t xml:space="preserve"> evaluation (Moloney </w:t>
      </w:r>
      <w:proofErr w:type="spellStart"/>
      <w:r w:rsidR="008D4015" w:rsidRPr="008D4015">
        <w:rPr>
          <w:lang w:val="en-AU"/>
        </w:rPr>
        <w:t>Kaspiew</w:t>
      </w:r>
      <w:proofErr w:type="spellEnd"/>
      <w:r w:rsidR="008D4015" w:rsidRPr="008D4015">
        <w:rPr>
          <w:lang w:val="en-AU"/>
        </w:rPr>
        <w:t xml:space="preserve">, </w:t>
      </w:r>
      <w:r w:rsidR="008D4015">
        <w:rPr>
          <w:lang w:val="en-AU"/>
        </w:rPr>
        <w:t xml:space="preserve">De </w:t>
      </w:r>
      <w:proofErr w:type="spellStart"/>
      <w:r w:rsidR="008D4015">
        <w:rPr>
          <w:lang w:val="en-AU"/>
        </w:rPr>
        <w:t>Maio</w:t>
      </w:r>
      <w:proofErr w:type="spellEnd"/>
      <w:r w:rsidR="008D4015" w:rsidRPr="008D4015">
        <w:rPr>
          <w:lang w:val="en-AU"/>
        </w:rPr>
        <w:t xml:space="preserve"> &amp; </w:t>
      </w:r>
      <w:proofErr w:type="spellStart"/>
      <w:r w:rsidR="008D4015" w:rsidRPr="008D4015">
        <w:rPr>
          <w:lang w:val="en-AU"/>
        </w:rPr>
        <w:t>Deblaquiere</w:t>
      </w:r>
      <w:proofErr w:type="spellEnd"/>
      <w:r w:rsidR="008D4015">
        <w:rPr>
          <w:lang w:val="en-AU"/>
        </w:rPr>
        <w:t xml:space="preserve"> 2013) found high levels of enthusiasm for the project amongst all but four of the partnerships</w:t>
      </w:r>
      <w:r w:rsidR="0034552E">
        <w:rPr>
          <w:lang w:val="en-AU"/>
        </w:rPr>
        <w:t xml:space="preserve"> – a huge advan</w:t>
      </w:r>
      <w:r w:rsidR="00950136">
        <w:rPr>
          <w:lang w:val="en-AU"/>
        </w:rPr>
        <w:t>ce from the sceptical days prio</w:t>
      </w:r>
      <w:r w:rsidR="0034552E">
        <w:rPr>
          <w:lang w:val="en-AU"/>
        </w:rPr>
        <w:t>r to and shortly after the 2006 reforms.</w:t>
      </w:r>
    </w:p>
    <w:p w14:paraId="7B8DCF79" w14:textId="77777777" w:rsidR="0034552E" w:rsidRDefault="0034552E" w:rsidP="00FA0364">
      <w:pPr>
        <w:pStyle w:val="Default"/>
        <w:rPr>
          <w:lang w:val="en-AU"/>
        </w:rPr>
      </w:pPr>
    </w:p>
    <w:p w14:paraId="0A5D5CCE" w14:textId="706006E0" w:rsidR="0034552E" w:rsidRDefault="0034552E" w:rsidP="00FA0364">
      <w:pPr>
        <w:pStyle w:val="Default"/>
        <w:rPr>
          <w:b/>
        </w:rPr>
      </w:pPr>
      <w:r>
        <w:t>I think the rule of thumb here is that if you challenge the status quo - not just for the sake of it but because you sense that you are offering something more appropriate – and if you do it reasonably well over time, you have a good chance of bringing the doubters with you. That said, it is also true that law and the social sciences will always remain in</w:t>
      </w:r>
      <w:r w:rsidR="00005CCB">
        <w:t xml:space="preserve"> some (hopefully constructive) </w:t>
      </w:r>
      <w:r>
        <w:t>tension</w:t>
      </w:r>
      <w:r w:rsidR="00005CCB">
        <w:t xml:space="preserve"> with each other because there will always be differences in their starting points and their methodologies. </w:t>
      </w:r>
      <w:r>
        <w:t xml:space="preserve"> </w:t>
      </w:r>
    </w:p>
    <w:p w14:paraId="6E8B51F6" w14:textId="77777777" w:rsidR="0076343C" w:rsidRDefault="0076343C" w:rsidP="00FA0364">
      <w:pPr>
        <w:pStyle w:val="Default"/>
        <w:rPr>
          <w:b/>
        </w:rPr>
      </w:pPr>
    </w:p>
    <w:p w14:paraId="3539685A" w14:textId="3DEE0039" w:rsidR="00112C62" w:rsidRDefault="0076343C" w:rsidP="00FA0364">
      <w:pPr>
        <w:pStyle w:val="Default"/>
        <w:rPr>
          <w:b/>
        </w:rPr>
      </w:pPr>
      <w:r>
        <w:rPr>
          <w:b/>
        </w:rPr>
        <w:t>Slide 17</w:t>
      </w:r>
    </w:p>
    <w:p w14:paraId="1E883781" w14:textId="77777777" w:rsidR="00005CCB" w:rsidRDefault="00005CCB" w:rsidP="00FA0364">
      <w:pPr>
        <w:pStyle w:val="Default"/>
        <w:rPr>
          <w:b/>
        </w:rPr>
      </w:pPr>
    </w:p>
    <w:p w14:paraId="6AC6116C" w14:textId="5DCCA8B6" w:rsidR="00005CCB" w:rsidRPr="00112C62" w:rsidRDefault="00005CCB" w:rsidP="00FA0364">
      <w:pPr>
        <w:pStyle w:val="Default"/>
        <w:rPr>
          <w:b/>
        </w:rPr>
      </w:pPr>
      <w:r>
        <w:t>For example, here are the results of a question put to three categories of family law professionals about how well recent reforms – the 2012 family violence amendments - support the twin aims of encouraging meaningful relationships between children and their parents, while offering protection to children and parents in cases of violence and abuse.</w:t>
      </w:r>
      <w:r w:rsidR="00900205">
        <w:rPr>
          <w:rStyle w:val="FootnoteReference"/>
        </w:rPr>
        <w:footnoteReference w:id="5"/>
      </w:r>
      <w:r>
        <w:t xml:space="preserve"> Interestingly, lawyers are closer to family relationship practitioners in their responses than they are to the judges. At the same time, this slide represents a pattern of responses that show that family relationship practitioners tend to have less faith than their legal colleagues in the capacity of legislation to influence </w:t>
      </w:r>
      <w:proofErr w:type="spellStart"/>
      <w:r w:rsidR="00900205">
        <w:t>behaviour</w:t>
      </w:r>
      <w:proofErr w:type="spellEnd"/>
      <w:r w:rsidR="00900205">
        <w:t xml:space="preserve">. </w:t>
      </w:r>
    </w:p>
    <w:p w14:paraId="039DCD9A" w14:textId="77777777" w:rsidR="00900205" w:rsidRDefault="00900205" w:rsidP="00FA0364">
      <w:pPr>
        <w:pStyle w:val="Default"/>
        <w:rPr>
          <w:b/>
        </w:rPr>
      </w:pPr>
    </w:p>
    <w:p w14:paraId="7665164A" w14:textId="0F712B7B" w:rsidR="00112C62" w:rsidRPr="00900205" w:rsidRDefault="00900205" w:rsidP="00FA0364">
      <w:pPr>
        <w:pStyle w:val="Default"/>
        <w:rPr>
          <w:b/>
        </w:rPr>
      </w:pPr>
      <w:r>
        <w:rPr>
          <w:b/>
        </w:rPr>
        <w:t>Slide 18</w:t>
      </w:r>
    </w:p>
    <w:p w14:paraId="57E53E19" w14:textId="77777777" w:rsidR="00900205" w:rsidRDefault="00900205" w:rsidP="00FA0364">
      <w:pPr>
        <w:pStyle w:val="Default"/>
      </w:pPr>
    </w:p>
    <w:p w14:paraId="541E14C2" w14:textId="5CEA20DC" w:rsidR="000D2627" w:rsidRDefault="003F0F07" w:rsidP="00FA0364">
      <w:pPr>
        <w:pStyle w:val="Default"/>
      </w:pPr>
      <w:r>
        <w:t>Before finishing,</w:t>
      </w:r>
      <w:r w:rsidR="000E5F3B">
        <w:t xml:space="preserve"> let me just mention two practices</w:t>
      </w:r>
      <w:r>
        <w:t xml:space="preserve"> I thought were innovative at the time and that have dovetailed nicely with the work of the FRCs</w:t>
      </w:r>
      <w:r w:rsidR="00F1762E">
        <w:t xml:space="preserve">. </w:t>
      </w:r>
      <w:r w:rsidR="000E5F3B">
        <w:t xml:space="preserve">And then in conclusion I’ll briefly return to the question of the roughly 4-5% of cases that appear to </w:t>
      </w:r>
      <w:r w:rsidR="00F75A40">
        <w:t>take up so much of our time with seemingly little impact.</w:t>
      </w:r>
    </w:p>
    <w:p w14:paraId="6701C80E" w14:textId="77777777" w:rsidR="00A01522" w:rsidRDefault="00A01522" w:rsidP="00FA0364">
      <w:pPr>
        <w:pStyle w:val="Default"/>
      </w:pPr>
    </w:p>
    <w:p w14:paraId="08BB8982" w14:textId="7F9471B4" w:rsidR="00F60E59" w:rsidRDefault="00A01522" w:rsidP="00FA0364">
      <w:pPr>
        <w:pStyle w:val="Default"/>
      </w:pPr>
      <w:r>
        <w:t xml:space="preserve">Australia is a huge country and </w:t>
      </w:r>
      <w:r w:rsidR="001C6123">
        <w:t>gaps in service delivery due to distances will always be a problem. Since 2001, the At</w:t>
      </w:r>
      <w:r w:rsidR="00701A7C">
        <w:t>torney General’s Department has</w:t>
      </w:r>
      <w:r w:rsidR="003F0F07">
        <w:t xml:space="preserve"> been sponsoring</w:t>
      </w:r>
      <w:r w:rsidR="001C6123">
        <w:t xml:space="preserve"> wha</w:t>
      </w:r>
      <w:r w:rsidR="000E5F3B">
        <w:t>t are known a</w:t>
      </w:r>
      <w:r w:rsidR="00F1762E">
        <w:t xml:space="preserve">s Pathways </w:t>
      </w:r>
      <w:r w:rsidR="0076343C">
        <w:t xml:space="preserve">Networks </w:t>
      </w:r>
      <w:r w:rsidR="00F1762E">
        <w:t>that</w:t>
      </w:r>
      <w:r w:rsidR="0076343C">
        <w:t xml:space="preserve"> </w:t>
      </w:r>
      <w:r w:rsidR="0076343C">
        <w:rPr>
          <w:rFonts w:eastAsia="Times New Roman" w:cs="Times New Roman"/>
        </w:rPr>
        <w:t>consist of professionals operating within the family law system. Typically there is only one professional in a particular region</w:t>
      </w:r>
      <w:r w:rsidR="0034552E">
        <w:rPr>
          <w:rFonts w:eastAsia="Times New Roman" w:cs="Times New Roman"/>
        </w:rPr>
        <w:t xml:space="preserve"> paid on a par time basis. The</w:t>
      </w:r>
      <w:r w:rsidR="0076343C">
        <w:rPr>
          <w:rFonts w:eastAsia="Times New Roman" w:cs="Times New Roman"/>
        </w:rPr>
        <w:t xml:space="preserve"> primary role</w:t>
      </w:r>
      <w:r w:rsidR="0034552E">
        <w:rPr>
          <w:rFonts w:eastAsia="Times New Roman" w:cs="Times New Roman"/>
        </w:rPr>
        <w:t xml:space="preserve"> of the pathways coordinator</w:t>
      </w:r>
      <w:r w:rsidR="0076343C">
        <w:rPr>
          <w:rFonts w:eastAsia="Times New Roman" w:cs="Times New Roman"/>
        </w:rPr>
        <w:t xml:space="preserve"> is to focus on </w:t>
      </w:r>
      <w:proofErr w:type="gramStart"/>
      <w:r w:rsidR="0076343C">
        <w:rPr>
          <w:rFonts w:eastAsia="Times New Roman" w:cs="Times New Roman"/>
        </w:rPr>
        <w:t>information-sharing</w:t>
      </w:r>
      <w:proofErr w:type="gramEnd"/>
      <w:r w:rsidR="0076343C">
        <w:rPr>
          <w:rFonts w:eastAsia="Times New Roman" w:cs="Times New Roman"/>
        </w:rPr>
        <w:t xml:space="preserve"> and networking opportunities in a local area; and to develop and maintain cross-sector training to help build stronger working relationships across the family law system.</w:t>
      </w:r>
      <w:r w:rsidR="006B2791">
        <w:t xml:space="preserve"> </w:t>
      </w:r>
      <w:r w:rsidR="001C6123">
        <w:t>This re</w:t>
      </w:r>
      <w:r w:rsidR="0034552E">
        <w:t>latively inexpensive initiative</w:t>
      </w:r>
      <w:r w:rsidR="001C6123">
        <w:t xml:space="preserve"> produced</w:t>
      </w:r>
      <w:r w:rsidR="00F20945">
        <w:t xml:space="preserve"> </w:t>
      </w:r>
      <w:r w:rsidR="006B2791">
        <w:t xml:space="preserve">considerably greater </w:t>
      </w:r>
      <w:r w:rsidR="001C6123">
        <w:t>dividends when the FRCs came on line between 2006 and 2008.</w:t>
      </w:r>
      <w:r w:rsidR="00F60E59">
        <w:t xml:space="preserve"> </w:t>
      </w:r>
      <w:r w:rsidR="00DA23FF">
        <w:t>It meant that the coordinators</w:t>
      </w:r>
      <w:r w:rsidR="00F60E59">
        <w:t xml:space="preserve"> were less isolated and more able to leverage off the FRCs’ </w:t>
      </w:r>
      <w:r w:rsidR="00DA23FF">
        <w:t xml:space="preserve">locally based </w:t>
      </w:r>
      <w:r w:rsidR="00F60E59">
        <w:t>mediation and other services.</w:t>
      </w:r>
    </w:p>
    <w:p w14:paraId="4388CCA2" w14:textId="77777777" w:rsidR="00F60E59" w:rsidRDefault="00F60E59" w:rsidP="00FA0364">
      <w:pPr>
        <w:pStyle w:val="Default"/>
      </w:pPr>
    </w:p>
    <w:p w14:paraId="4212AE5D" w14:textId="0FCD892E" w:rsidR="00DA23FF" w:rsidRDefault="00DA23FF" w:rsidP="00FA0364">
      <w:pPr>
        <w:pStyle w:val="Default"/>
      </w:pPr>
      <w:r>
        <w:t>W</w:t>
      </w:r>
      <w:r w:rsidR="00F60E59">
        <w:t xml:space="preserve">hile on the subject of mediation, I should mention the considerable support that Australia’s Attorney General’s Department gave to the establishment if child focused and child inclusive practices. Once developed, the Department funded my colleague </w:t>
      </w:r>
      <w:proofErr w:type="spellStart"/>
      <w:r w:rsidR="00F60E59">
        <w:t>Jenn</w:t>
      </w:r>
      <w:proofErr w:type="spellEnd"/>
      <w:r w:rsidR="00F60E59">
        <w:t xml:space="preserve"> McIntosh and I, with support from another colleague, Tom Fisher, to train newly appointed FRC staff around Australia in </w:t>
      </w:r>
      <w:r>
        <w:t>child sensitive</w:t>
      </w:r>
      <w:r w:rsidR="00F60E59">
        <w:t xml:space="preserve"> practices. Child oriented ways of mediating</w:t>
      </w:r>
      <w:r w:rsidR="006F2085">
        <w:t>, in which former partners’ real difficulties with each other are</w:t>
      </w:r>
      <w:r>
        <w:t xml:space="preserve"> empathically</w:t>
      </w:r>
      <w:r w:rsidR="006F2085">
        <w:t xml:space="preserve"> acknowledged</w:t>
      </w:r>
      <w:r>
        <w:t>,</w:t>
      </w:r>
      <w:r w:rsidR="006F2085">
        <w:t xml:space="preserve"> while the children’s needs are simultaneously kept front and center of the discussions</w:t>
      </w:r>
      <w:r w:rsidR="00FA6F6C">
        <w:t xml:space="preserve"> (see for example Moloney &amp; McIntosh 2006)</w:t>
      </w:r>
      <w:r w:rsidR="006F2085">
        <w:t>, has I think been a quiet revolution in Australian practice.</w:t>
      </w:r>
      <w:r w:rsidR="00F60E59">
        <w:t xml:space="preserve">  </w:t>
      </w:r>
    </w:p>
    <w:p w14:paraId="40D2C8D3" w14:textId="77777777" w:rsidR="000E5F3B" w:rsidRDefault="000E5F3B" w:rsidP="00FA0364">
      <w:pPr>
        <w:pStyle w:val="Default"/>
        <w:rPr>
          <w:b/>
        </w:rPr>
      </w:pPr>
    </w:p>
    <w:p w14:paraId="690A837D" w14:textId="19EF639F" w:rsidR="00DA23FF" w:rsidRPr="000E5F3B" w:rsidRDefault="00FA6F6C" w:rsidP="00FA0364">
      <w:pPr>
        <w:pStyle w:val="Default"/>
        <w:rPr>
          <w:b/>
        </w:rPr>
      </w:pPr>
      <w:r>
        <w:rPr>
          <w:b/>
        </w:rPr>
        <w:t>S</w:t>
      </w:r>
      <w:r w:rsidR="000E5F3B" w:rsidRPr="000E5F3B">
        <w:rPr>
          <w:b/>
        </w:rPr>
        <w:t>lide</w:t>
      </w:r>
      <w:r>
        <w:rPr>
          <w:b/>
        </w:rPr>
        <w:t xml:space="preserve"> 19</w:t>
      </w:r>
    </w:p>
    <w:p w14:paraId="5A4915B6" w14:textId="77777777" w:rsidR="000E5F3B" w:rsidRDefault="000E5F3B" w:rsidP="00FA0364">
      <w:pPr>
        <w:pStyle w:val="Default"/>
      </w:pPr>
    </w:p>
    <w:p w14:paraId="37D5B9E8" w14:textId="55DC205B" w:rsidR="00534FEF" w:rsidRDefault="00DE1343" w:rsidP="00FA0364">
      <w:pPr>
        <w:pStyle w:val="Default"/>
      </w:pPr>
      <w:r>
        <w:t xml:space="preserve">In terms of </w:t>
      </w:r>
      <w:r w:rsidR="000E5F3B" w:rsidRPr="000E5F3B">
        <w:rPr>
          <w:i/>
        </w:rPr>
        <w:t>future</w:t>
      </w:r>
      <w:r w:rsidR="000E5F3B">
        <w:t xml:space="preserve"> </w:t>
      </w:r>
      <w:r>
        <w:t>innovations,</w:t>
      </w:r>
      <w:r w:rsidR="008C6B70">
        <w:t xml:space="preserve"> it’s worth noting that Australia’s </w:t>
      </w:r>
      <w:r w:rsidR="00D31FB7">
        <w:t xml:space="preserve">Family Law Council is </w:t>
      </w:r>
      <w:r w:rsidR="008C6B70">
        <w:t xml:space="preserve">currently </w:t>
      </w:r>
      <w:r w:rsidR="00D31FB7">
        <w:t xml:space="preserve">considering how best to deal with what it calls ‘complex cases’. It is not for me to pre-empt Council’s recommendations, </w:t>
      </w:r>
      <w:r w:rsidR="00303A92">
        <w:t xml:space="preserve">which are </w:t>
      </w:r>
      <w:r w:rsidR="00D31FB7">
        <w:t xml:space="preserve">due </w:t>
      </w:r>
      <w:r w:rsidR="00303A92">
        <w:t xml:space="preserve">to be presented to the Attorney General </w:t>
      </w:r>
      <w:r w:rsidR="00D31FB7">
        <w:t xml:space="preserve">in the first </w:t>
      </w:r>
      <w:r w:rsidR="00303A92">
        <w:t>p</w:t>
      </w:r>
      <w:r w:rsidR="00D31FB7">
        <w:t>art of next year. But I strongly suspect that it will include some form of reporting function for</w:t>
      </w:r>
      <w:r w:rsidR="008640AF">
        <w:t xml:space="preserve"> those</w:t>
      </w:r>
      <w:r w:rsidR="008C6B70">
        <w:t xml:space="preserve"> F</w:t>
      </w:r>
      <w:r w:rsidR="00950136">
        <w:t xml:space="preserve">amily </w:t>
      </w:r>
      <w:r w:rsidR="008C6B70">
        <w:t>D</w:t>
      </w:r>
      <w:r w:rsidR="00950136">
        <w:t xml:space="preserve">ispute </w:t>
      </w:r>
      <w:r w:rsidR="008C6B70">
        <w:t>R</w:t>
      </w:r>
      <w:r w:rsidR="00950136">
        <w:t xml:space="preserve">esolution </w:t>
      </w:r>
      <w:r w:rsidR="008C6B70">
        <w:t>P</w:t>
      </w:r>
      <w:r w:rsidR="00950136">
        <w:t>ractitioner</w:t>
      </w:r>
      <w:r w:rsidR="008C6B70">
        <w:t>s</w:t>
      </w:r>
      <w:r w:rsidR="00D31FB7">
        <w:t xml:space="preserve"> </w:t>
      </w:r>
      <w:r w:rsidR="008C6B70">
        <w:t>(</w:t>
      </w:r>
      <w:r w:rsidR="00D31FB7">
        <w:t>mediators</w:t>
      </w:r>
      <w:r w:rsidR="008C6B70">
        <w:t xml:space="preserve">) who in the course of their work become privy to information that </w:t>
      </w:r>
      <w:r w:rsidR="008640AF">
        <w:t>falls</w:t>
      </w:r>
      <w:r w:rsidR="008C6B70">
        <w:t xml:space="preserve"> short of being formally </w:t>
      </w:r>
      <w:proofErr w:type="spellStart"/>
      <w:r w:rsidR="008640AF">
        <w:t>notifiable</w:t>
      </w:r>
      <w:proofErr w:type="spellEnd"/>
      <w:r w:rsidR="008640AF">
        <w:t>,</w:t>
      </w:r>
      <w:r w:rsidR="008C6B70">
        <w:t xml:space="preserve"> </w:t>
      </w:r>
      <w:r w:rsidR="008640AF">
        <w:t xml:space="preserve">but would nonetheless be of great assistance to a judicial officer grappling with making the best decision possible at an interim hearing. </w:t>
      </w:r>
    </w:p>
    <w:p w14:paraId="0924C40E" w14:textId="77777777" w:rsidR="00303A92" w:rsidRDefault="00303A92" w:rsidP="00FA0364">
      <w:pPr>
        <w:pStyle w:val="Default"/>
      </w:pPr>
    </w:p>
    <w:p w14:paraId="730AAF93" w14:textId="212A783D" w:rsidR="00D953D1" w:rsidRPr="00D130E1" w:rsidRDefault="00303A92" w:rsidP="00FA0364">
      <w:pPr>
        <w:pStyle w:val="Default"/>
      </w:pPr>
      <w:r>
        <w:t>O</w:t>
      </w:r>
      <w:r w:rsidR="00534FEF">
        <w:t>f course</w:t>
      </w:r>
      <w:r>
        <w:t xml:space="preserve"> making mediation potentially reportable</w:t>
      </w:r>
      <w:r w:rsidR="00FA6F6C">
        <w:t xml:space="preserve"> has many ramifications – and we</w:t>
      </w:r>
      <w:r>
        <w:t xml:space="preserve"> could devote a whole seminar to thi</w:t>
      </w:r>
      <w:r w:rsidR="008640AF">
        <w:t>s topic</w:t>
      </w:r>
      <w:r w:rsidR="00FA6F6C">
        <w:t>. B</w:t>
      </w:r>
      <w:r w:rsidR="008640AF">
        <w:t xml:space="preserve">ut for now, let me just say that one of the </w:t>
      </w:r>
      <w:r w:rsidR="00FA6F6C">
        <w:t xml:space="preserve">lesser known </w:t>
      </w:r>
      <w:r w:rsidR="008640AF">
        <w:t>changes that came with the 2006 reforms was the ‘rebadging’ of the original family court counselors into family consultants</w:t>
      </w:r>
      <w:r w:rsidR="009D26BF">
        <w:t xml:space="preserve">. The main task of these consultants is to work with families who have already entered the court system to see if they can assist them to resolve their dispute even at this relatively late stage in proceedings. Court </w:t>
      </w:r>
      <w:proofErr w:type="spellStart"/>
      <w:r w:rsidR="009D26BF">
        <w:t>counsellors</w:t>
      </w:r>
      <w:proofErr w:type="spellEnd"/>
      <w:r w:rsidR="009D26BF">
        <w:t xml:space="preserve"> have always had such a role but until 2006, deliberations with clients were confidential. Now the opposite is the case. That is, clients are told at the outset that the family consultant will do his or her best to assist family members to resolve their dispute – but that in the event that this proves </w:t>
      </w:r>
      <w:r w:rsidR="00FA6F6C">
        <w:t>impossible, the family consultant will report his or her observations and possibly recommendations to the court.</w:t>
      </w:r>
      <w:r w:rsidR="00D130E1">
        <w:t xml:space="preserve"> </w:t>
      </w:r>
    </w:p>
    <w:p w14:paraId="1B335417" w14:textId="77777777" w:rsidR="0033023A" w:rsidRDefault="0033023A" w:rsidP="00FA0364">
      <w:pPr>
        <w:pStyle w:val="Default"/>
      </w:pPr>
    </w:p>
    <w:p w14:paraId="7BFB4F0D" w14:textId="77777777" w:rsidR="00843BFF" w:rsidRDefault="00843BFF" w:rsidP="00843BFF">
      <w:pPr>
        <w:pStyle w:val="Default"/>
      </w:pPr>
    </w:p>
    <w:p w14:paraId="360BCD06" w14:textId="1111F048" w:rsidR="00843BFF" w:rsidRDefault="00843BFF" w:rsidP="00843BFF">
      <w:pPr>
        <w:pStyle w:val="Default"/>
      </w:pPr>
      <w:r>
        <w:t>Finally, let’s briefly return to the 4-5% of seeming</w:t>
      </w:r>
      <w:r w:rsidR="00D130E1">
        <w:t>ly</w:t>
      </w:r>
      <w:r>
        <w:t xml:space="preserve"> intractable cases I spoke about at the outset. When you look at the characteristics of these families – fearful individuals with safety concerns attached to serious problems like dangerous </w:t>
      </w:r>
      <w:proofErr w:type="spellStart"/>
      <w:r>
        <w:t>behaviours</w:t>
      </w:r>
      <w:proofErr w:type="spellEnd"/>
      <w:r>
        <w:t xml:space="preserve">, addictions and mental health issues, you come to appreciate that their disputes over their children </w:t>
      </w:r>
      <w:r w:rsidR="00D130E1">
        <w:t>represent but one component o</w:t>
      </w:r>
      <w:r w:rsidR="005605B8">
        <w:t>f a set of problematic dynamics</w:t>
      </w:r>
      <w:r>
        <w:t>.</w:t>
      </w:r>
    </w:p>
    <w:p w14:paraId="7DC53B7D" w14:textId="77777777" w:rsidR="00843BFF" w:rsidRDefault="00843BFF" w:rsidP="00FA0364">
      <w:pPr>
        <w:pStyle w:val="Default"/>
      </w:pPr>
    </w:p>
    <w:p w14:paraId="1B2DB347" w14:textId="654C238D" w:rsidR="0033023A" w:rsidRDefault="0033023A" w:rsidP="00FA0364">
      <w:pPr>
        <w:pStyle w:val="Default"/>
      </w:pPr>
      <w:r>
        <w:t>It’s become increasingly clear that</w:t>
      </w:r>
      <w:r w:rsidR="00843BFF">
        <w:t xml:space="preserve"> many cases that get as far</w:t>
      </w:r>
      <w:r w:rsidR="00E5001D">
        <w:t xml:space="preserve"> as court hearings</w:t>
      </w:r>
      <w:r w:rsidR="00843BFF">
        <w:t xml:space="preserve"> are on the edge of or fall outside the principles upon which private law</w:t>
      </w:r>
      <w:r w:rsidR="005605B8">
        <w:t xml:space="preserve"> has largely developed. Amongst other things, t</w:t>
      </w:r>
      <w:r w:rsidR="00843BFF">
        <w:t>hese</w:t>
      </w:r>
      <w:r>
        <w:t xml:space="preserve"> </w:t>
      </w:r>
      <w:r w:rsidR="00843BFF">
        <w:t>‘</w:t>
      </w:r>
      <w:r>
        <w:t>complex cases</w:t>
      </w:r>
      <w:r w:rsidR="00843BFF">
        <w:t>’</w:t>
      </w:r>
      <w:r>
        <w:t xml:space="preserve"> </w:t>
      </w:r>
      <w:r w:rsidR="00112C62">
        <w:t>require</w:t>
      </w:r>
      <w:r w:rsidR="002B71F9">
        <w:t xml:space="preserve"> that we pay</w:t>
      </w:r>
      <w:r w:rsidR="00112C62">
        <w:t xml:space="preserve"> particular attention</w:t>
      </w:r>
      <w:r w:rsidR="005605B8">
        <w:t xml:space="preserve"> not just to the idea of cooperation, but</w:t>
      </w:r>
      <w:r w:rsidR="00112C62">
        <w:t xml:space="preserve"> to</w:t>
      </w:r>
      <w:r w:rsidR="002B71F9">
        <w:t xml:space="preserve"> the </w:t>
      </w:r>
      <w:r w:rsidR="002B71F9" w:rsidRPr="005605B8">
        <w:rPr>
          <w:i/>
        </w:rPr>
        <w:t>mechanisms</w:t>
      </w:r>
      <w:r w:rsidR="002B71F9">
        <w:t xml:space="preserve"> of</w:t>
      </w:r>
      <w:r>
        <w:t xml:space="preserve"> cooperation </w:t>
      </w:r>
      <w:r w:rsidR="005605B8">
        <w:t>between</w:t>
      </w:r>
      <w:r>
        <w:t xml:space="preserve"> the major players in disputes over children –</w:t>
      </w:r>
      <w:r w:rsidR="00780A2A">
        <w:t xml:space="preserve"> decision makers,</w:t>
      </w:r>
      <w:r>
        <w:t xml:space="preserve"> mediators, </w:t>
      </w:r>
      <w:proofErr w:type="spellStart"/>
      <w:r>
        <w:t>counsel</w:t>
      </w:r>
      <w:r w:rsidR="00AA0104">
        <w:t>l</w:t>
      </w:r>
      <w:r>
        <w:t>ors</w:t>
      </w:r>
      <w:proofErr w:type="spellEnd"/>
      <w:r>
        <w:t>, lawyers, independent child legal representatives and so on.</w:t>
      </w:r>
      <w:r w:rsidR="00AA0104">
        <w:t xml:space="preserve"> As Hilary Rodham Clinton once famously said, “It takes a village to raise a child.” </w:t>
      </w:r>
    </w:p>
    <w:p w14:paraId="23A60986" w14:textId="77777777" w:rsidR="00303A92" w:rsidRDefault="00303A92" w:rsidP="00FA0364">
      <w:pPr>
        <w:pStyle w:val="Default"/>
      </w:pPr>
    </w:p>
    <w:p w14:paraId="3C1D2D73" w14:textId="2F54F90C" w:rsidR="003D6C4B" w:rsidRDefault="003D6C4B" w:rsidP="00FA0364">
      <w:pPr>
        <w:pStyle w:val="Default"/>
      </w:pPr>
      <w:r>
        <w:t>I think</w:t>
      </w:r>
      <w:r w:rsidR="00843BFF">
        <w:t xml:space="preserve"> that many</w:t>
      </w:r>
      <w:r>
        <w:t xml:space="preserve"> judges in the</w:t>
      </w:r>
      <w:r w:rsidR="00843BFF">
        <w:t xml:space="preserve"> (so called)</w:t>
      </w:r>
      <w:r>
        <w:t xml:space="preserve"> private family law field probably need to be braver in demanding that in </w:t>
      </w:r>
      <w:r w:rsidR="00AA0104">
        <w:t>certain</w:t>
      </w:r>
      <w:r>
        <w:t xml:space="preserve"> cases, </w:t>
      </w:r>
      <w:r w:rsidR="005F18CB">
        <w:t>permitting</w:t>
      </w:r>
      <w:r w:rsidR="00112C62">
        <w:t xml:space="preserve"> </w:t>
      </w:r>
      <w:r>
        <w:t>ongoing relationships with children need</w:t>
      </w:r>
      <w:r w:rsidR="002B71F9">
        <w:t>s</w:t>
      </w:r>
      <w:r>
        <w:t xml:space="preserve"> to come with conditions. But</w:t>
      </w:r>
      <w:r w:rsidR="005F18CB">
        <w:t xml:space="preserve"> for these demands to be realistic,</w:t>
      </w:r>
      <w:r>
        <w:t xml:space="preserve"> judges also need the support of family law professionals</w:t>
      </w:r>
      <w:r w:rsidR="005F18CB">
        <w:t>. And</w:t>
      </w:r>
      <w:r>
        <w:t xml:space="preserve"> those professionals in turn need to have the humility to work with and at times defer to the </w:t>
      </w:r>
      <w:r w:rsidR="00112C62">
        <w:t>skills</w:t>
      </w:r>
      <w:r>
        <w:t xml:space="preserve"> that can be brought to the table by others who are experts in areas such as mental health, addiction and of course, the problem of seriously controlling violence.</w:t>
      </w:r>
    </w:p>
    <w:p w14:paraId="3CF54DB3" w14:textId="77777777" w:rsidR="003D6C4B" w:rsidRDefault="003D6C4B" w:rsidP="00FA0364">
      <w:pPr>
        <w:pStyle w:val="Default"/>
      </w:pPr>
    </w:p>
    <w:p w14:paraId="2975A755" w14:textId="1621A92B" w:rsidR="00F514B9" w:rsidRDefault="00843BFF" w:rsidP="00FA0364">
      <w:pPr>
        <w:pStyle w:val="Default"/>
      </w:pPr>
      <w:r>
        <w:t>Recently,</w:t>
      </w:r>
      <w:r w:rsidR="003D6C4B">
        <w:t xml:space="preserve"> the Australian Psychological Society called for funding to set up </w:t>
      </w:r>
      <w:r w:rsidR="00C9686E">
        <w:t>‘</w:t>
      </w:r>
      <w:r w:rsidR="003D6C4B">
        <w:t xml:space="preserve">family </w:t>
      </w:r>
      <w:proofErr w:type="spellStart"/>
      <w:r w:rsidR="003D6C4B">
        <w:t>centres</w:t>
      </w:r>
      <w:r w:rsidR="00C9686E">
        <w:t>’</w:t>
      </w:r>
      <w:proofErr w:type="spellEnd"/>
      <w:r w:rsidR="003D6C4B">
        <w:t xml:space="preserve"> to address</w:t>
      </w:r>
      <w:r w:rsidR="00E24CCC">
        <w:t xml:space="preserve"> the more serious</w:t>
      </w:r>
      <w:r w:rsidR="003D6C4B">
        <w:t xml:space="preserve"> problems </w:t>
      </w:r>
      <w:r w:rsidR="00E24CCC">
        <w:t>that effect family functioning</w:t>
      </w:r>
      <w:r w:rsidR="003D6C4B">
        <w:t xml:space="preserve">. I would argue that we already have the structures in place in the form of Family Relationship </w:t>
      </w:r>
      <w:proofErr w:type="spellStart"/>
      <w:r w:rsidR="003D6C4B">
        <w:t>Centres</w:t>
      </w:r>
      <w:proofErr w:type="spellEnd"/>
      <w:r w:rsidR="003D6C4B">
        <w:t>.</w:t>
      </w:r>
      <w:r w:rsidR="00C9686E">
        <w:t xml:space="preserve"> Better to build on them than to re-invent the wheel! Indeed</w:t>
      </w:r>
      <w:r w:rsidR="00E24CCC">
        <w:t xml:space="preserve"> </w:t>
      </w:r>
      <w:r w:rsidR="00C9686E">
        <w:t>m</w:t>
      </w:r>
      <w:r w:rsidR="002B71F9">
        <w:t xml:space="preserve">any </w:t>
      </w:r>
      <w:r w:rsidR="00C9686E">
        <w:t>FRCs</w:t>
      </w:r>
      <w:r w:rsidR="00E24CCC">
        <w:t xml:space="preserve"> have (often quietly) moved beyond their family law brief and have formed strong links with other </w:t>
      </w:r>
      <w:proofErr w:type="gramStart"/>
      <w:r w:rsidR="00E24CCC">
        <w:t>community based</w:t>
      </w:r>
      <w:proofErr w:type="gramEnd"/>
      <w:r w:rsidR="00E24CCC">
        <w:t xml:space="preserve"> services including legal services. The 4-5% will remain a challenge and will continue to chew up a disproportionate percentage of our resources. The question is </w:t>
      </w:r>
      <w:r w:rsidR="005605B8">
        <w:t>less one of</w:t>
      </w:r>
      <w:r w:rsidR="00E24CCC">
        <w:t xml:space="preserve"> how </w:t>
      </w:r>
      <w:r w:rsidR="00E24CCC" w:rsidRPr="00C9686E">
        <w:rPr>
          <w:i/>
        </w:rPr>
        <w:t>much</w:t>
      </w:r>
      <w:r w:rsidR="00E24CCC">
        <w:t xml:space="preserve"> we spend on these families but how </w:t>
      </w:r>
      <w:r w:rsidR="00E24CCC" w:rsidRPr="00C9686E">
        <w:rPr>
          <w:i/>
        </w:rPr>
        <w:t>well</w:t>
      </w:r>
      <w:r w:rsidR="00E24CCC">
        <w:t xml:space="preserve"> we spend it. </w:t>
      </w:r>
    </w:p>
    <w:p w14:paraId="40663868" w14:textId="77777777" w:rsidR="00F514B9" w:rsidRDefault="00F514B9" w:rsidP="00FA0364">
      <w:pPr>
        <w:pStyle w:val="Default"/>
      </w:pPr>
    </w:p>
    <w:p w14:paraId="1C46AD00" w14:textId="4A34AA3A" w:rsidR="003D6C4B" w:rsidRDefault="00E24CCC" w:rsidP="00FA0364">
      <w:pPr>
        <w:pStyle w:val="Default"/>
      </w:pPr>
      <w:r>
        <w:t>The</w:t>
      </w:r>
      <w:r w:rsidR="00AA0104">
        <w:t>re are no easy answers but one w</w:t>
      </w:r>
      <w:r>
        <w:t>ay forward is to ensure that families get consistency from professionals who are firmly located in the community</w:t>
      </w:r>
      <w:r w:rsidR="00C9686E">
        <w:t xml:space="preserve"> and in community-based solutions</w:t>
      </w:r>
      <w:r>
        <w:t xml:space="preserve"> but who are not afraid to interact with the courts when this is required. So let me conclude with one example of a link between a family court and professional services in a case of a father’s controlling violence.</w:t>
      </w:r>
      <w:r w:rsidR="005F02AF">
        <w:t xml:space="preserve"> It’s from that wonderful book, </w:t>
      </w:r>
      <w:r w:rsidR="005F02AF" w:rsidRPr="00112C62">
        <w:rPr>
          <w:i/>
        </w:rPr>
        <w:t>In the name of the child</w:t>
      </w:r>
      <w:r w:rsidR="005F02AF">
        <w:t>, by Janet Johnston</w:t>
      </w:r>
      <w:r>
        <w:t xml:space="preserve"> </w:t>
      </w:r>
      <w:r w:rsidR="005F02AF">
        <w:t>and her colleagues. (By the way I’m proud to say that Janet</w:t>
      </w:r>
      <w:r w:rsidR="00C9686E">
        <w:t xml:space="preserve"> who has lived in the USA most of her life,</w:t>
      </w:r>
      <w:r w:rsidR="005F02AF">
        <w:t xml:space="preserve"> is originally an Aussie)</w:t>
      </w:r>
    </w:p>
    <w:p w14:paraId="54D5AA9F" w14:textId="77777777" w:rsidR="002B71F9" w:rsidRDefault="002B71F9" w:rsidP="00FA0364">
      <w:pPr>
        <w:pStyle w:val="Default"/>
        <w:rPr>
          <w:b/>
        </w:rPr>
      </w:pPr>
    </w:p>
    <w:p w14:paraId="6E37202D" w14:textId="49E57D68" w:rsidR="005F02AF" w:rsidRPr="00F514B9" w:rsidRDefault="00631B00" w:rsidP="00FA0364">
      <w:pPr>
        <w:pStyle w:val="Default"/>
        <w:rPr>
          <w:b/>
        </w:rPr>
      </w:pPr>
      <w:r>
        <w:rPr>
          <w:b/>
        </w:rPr>
        <w:t>Slide 20</w:t>
      </w:r>
    </w:p>
    <w:p w14:paraId="23FF81CF" w14:textId="77777777" w:rsidR="002B71F9" w:rsidRDefault="002B71F9" w:rsidP="00FA0364">
      <w:pPr>
        <w:pStyle w:val="Default"/>
        <w:rPr>
          <w:sz w:val="22"/>
          <w:szCs w:val="22"/>
        </w:rPr>
      </w:pPr>
    </w:p>
    <w:p w14:paraId="76768901" w14:textId="1BC77943" w:rsidR="005F02AF" w:rsidRPr="00AA0104" w:rsidRDefault="005F02AF" w:rsidP="00FA0364">
      <w:pPr>
        <w:pStyle w:val="Default"/>
        <w:rPr>
          <w:sz w:val="20"/>
          <w:szCs w:val="20"/>
        </w:rPr>
      </w:pPr>
      <w:proofErr w:type="spellStart"/>
      <w:r w:rsidRPr="00AA0104">
        <w:rPr>
          <w:sz w:val="20"/>
          <w:szCs w:val="20"/>
        </w:rPr>
        <w:t>Mr</w:t>
      </w:r>
      <w:proofErr w:type="spellEnd"/>
      <w:r w:rsidRPr="00AA0104">
        <w:rPr>
          <w:sz w:val="20"/>
          <w:szCs w:val="20"/>
        </w:rPr>
        <w:t xml:space="preserve"> R, what you have done to your wife is a criminal act under the laws of this state, regardless of what you say she did or said to provoke you, and there are consequences that the Court is bound to impose. What you did is also very harmful to your children, whether they actually witnessed the event or not. Living in a violent home is bad for children. </w:t>
      </w:r>
      <w:proofErr w:type="spellStart"/>
      <w:r w:rsidRPr="00AA0104">
        <w:rPr>
          <w:sz w:val="20"/>
          <w:szCs w:val="20"/>
        </w:rPr>
        <w:t>Mr</w:t>
      </w:r>
      <w:proofErr w:type="spellEnd"/>
      <w:r w:rsidRPr="00AA0104">
        <w:rPr>
          <w:sz w:val="20"/>
          <w:szCs w:val="20"/>
        </w:rPr>
        <w:t xml:space="preserve"> R I hear you when you say that you love your wife and children, that you are sorry for what you did and that you have promised not to do that again. The Court is going to help you keep that promise by doing three things: first, by providing your family with protection until it can be sure that you are no longer a danger, and that you can show you are no longer a danger; secondly by providing you an opportunity to manage your anger better and to resolve conflict in a non-violent way; and third, by providing you and your children a safe place to visit together, where they will not be afraid, and you will be given an opportunity to show that you have a loving relationship with your son and daughter. (p. 27).</w:t>
      </w:r>
    </w:p>
    <w:p w14:paraId="1C23B932" w14:textId="77777777" w:rsidR="002B71F9" w:rsidRDefault="002B71F9" w:rsidP="00FA0364">
      <w:pPr>
        <w:pStyle w:val="Default"/>
        <w:rPr>
          <w:b/>
        </w:rPr>
      </w:pPr>
    </w:p>
    <w:p w14:paraId="69E320E4" w14:textId="77777777" w:rsidR="00AA0104" w:rsidRDefault="00AA0104" w:rsidP="00FA0364">
      <w:pPr>
        <w:pStyle w:val="Default"/>
      </w:pPr>
    </w:p>
    <w:p w14:paraId="21846239" w14:textId="524B14BD" w:rsidR="002B71F9" w:rsidRPr="0087422B" w:rsidRDefault="002B71F9" w:rsidP="00FA0364">
      <w:pPr>
        <w:pStyle w:val="Default"/>
        <w:rPr>
          <w:b/>
        </w:rPr>
      </w:pPr>
      <w:r>
        <w:t>Relationships, law, empathy, persuasion, sa</w:t>
      </w:r>
      <w:r w:rsidR="0087422B">
        <w:t xml:space="preserve">nctions, </w:t>
      </w:r>
      <w:r>
        <w:t>cooperation</w:t>
      </w:r>
      <w:r w:rsidR="0087422B">
        <w:t xml:space="preserve">, </w:t>
      </w:r>
      <w:r w:rsidR="00C9686E">
        <w:t>as well as</w:t>
      </w:r>
      <w:r w:rsidR="0087422B">
        <w:t xml:space="preserve"> the gathering of data to inform us what is really happening rather than what</w:t>
      </w:r>
      <w:r w:rsidR="00C9686E">
        <w:t xml:space="preserve"> we simply believe is happening</w:t>
      </w:r>
      <w:r>
        <w:t>.</w:t>
      </w:r>
      <w:r w:rsidR="0087422B">
        <w:t xml:space="preserve"> It’s a </w:t>
      </w:r>
      <w:bookmarkStart w:id="0" w:name="_GoBack"/>
      <w:bookmarkEnd w:id="0"/>
      <w:r w:rsidR="0087422B">
        <w:t>heady mix of variables that make family law so fascinating and will continue to keep us all on our toes</w:t>
      </w:r>
    </w:p>
    <w:p w14:paraId="6EB8DAE1" w14:textId="77777777" w:rsidR="002B71F9" w:rsidRDefault="002B71F9" w:rsidP="00FA0364">
      <w:pPr>
        <w:pStyle w:val="Default"/>
        <w:rPr>
          <w:b/>
        </w:rPr>
      </w:pPr>
    </w:p>
    <w:p w14:paraId="2E6D9C01" w14:textId="2567705A" w:rsidR="007128B2" w:rsidRPr="00F514B9" w:rsidRDefault="001759F1" w:rsidP="00FA0364">
      <w:pPr>
        <w:pStyle w:val="Default"/>
        <w:rPr>
          <w:b/>
        </w:rPr>
      </w:pPr>
      <w:r>
        <w:rPr>
          <w:b/>
        </w:rPr>
        <w:t>Final</w:t>
      </w:r>
      <w:r w:rsidR="00F514B9" w:rsidRPr="00F514B9">
        <w:rPr>
          <w:b/>
        </w:rPr>
        <w:t xml:space="preserve"> Slide</w:t>
      </w:r>
      <w:r w:rsidR="0044253C">
        <w:rPr>
          <w:b/>
        </w:rPr>
        <w:t xml:space="preserve"> </w:t>
      </w:r>
    </w:p>
    <w:p w14:paraId="175F4F89" w14:textId="1A554873" w:rsidR="00F21D41" w:rsidRDefault="00F21D41" w:rsidP="00F21D41"/>
    <w:p w14:paraId="402B3D3A" w14:textId="55D8A659" w:rsidR="001C0B7E" w:rsidRDefault="001C0B7E" w:rsidP="00F21D41">
      <w:pPr>
        <w:rPr>
          <w:b/>
        </w:rPr>
      </w:pPr>
      <w:r w:rsidRPr="001C0B7E">
        <w:rPr>
          <w:b/>
        </w:rPr>
        <w:t>References</w:t>
      </w:r>
    </w:p>
    <w:p w14:paraId="73727AB9" w14:textId="77777777" w:rsidR="001C0B7E" w:rsidRDefault="001C0B7E" w:rsidP="00F21D41">
      <w:pPr>
        <w:rPr>
          <w:b/>
        </w:rPr>
      </w:pPr>
    </w:p>
    <w:p w14:paraId="06A68091" w14:textId="77777777" w:rsidR="001C0B7E" w:rsidRPr="001C0B7E" w:rsidRDefault="001C0B7E" w:rsidP="001C0B7E">
      <w:pPr>
        <w:ind w:left="720" w:hanging="720"/>
        <w:rPr>
          <w:rFonts w:ascii="Garamond" w:hAnsi="Garamond"/>
          <w:sz w:val="22"/>
          <w:szCs w:val="22"/>
        </w:rPr>
      </w:pPr>
      <w:proofErr w:type="gramStart"/>
      <w:r w:rsidRPr="001C0B7E">
        <w:rPr>
          <w:rFonts w:ascii="Garamond" w:hAnsi="Garamond"/>
          <w:sz w:val="22"/>
          <w:szCs w:val="22"/>
        </w:rPr>
        <w:t>Auditor General (2011) Audit Report No.1 2010–11.</w:t>
      </w:r>
      <w:proofErr w:type="gramEnd"/>
      <w:r w:rsidRPr="001C0B7E">
        <w:rPr>
          <w:rFonts w:ascii="Garamond" w:hAnsi="Garamond"/>
          <w:sz w:val="22"/>
          <w:szCs w:val="22"/>
        </w:rPr>
        <w:t xml:space="preserve"> Performance Audit. </w:t>
      </w:r>
      <w:proofErr w:type="gramStart"/>
      <w:r w:rsidRPr="001C0B7E">
        <w:rPr>
          <w:rFonts w:ascii="Garamond" w:hAnsi="Garamond"/>
          <w:sz w:val="22"/>
          <w:szCs w:val="22"/>
        </w:rPr>
        <w:t>Implementation of the Family Relationship Centres Initiative.</w:t>
      </w:r>
      <w:proofErr w:type="gramEnd"/>
      <w:r w:rsidRPr="001C0B7E">
        <w:rPr>
          <w:rFonts w:ascii="Garamond" w:hAnsi="Garamond"/>
          <w:sz w:val="22"/>
          <w:szCs w:val="22"/>
        </w:rPr>
        <w:t xml:space="preserve"> Canberra: </w:t>
      </w:r>
      <w:proofErr w:type="gramStart"/>
      <w:r w:rsidRPr="001C0B7E">
        <w:rPr>
          <w:rFonts w:ascii="Garamond" w:hAnsi="Garamond"/>
          <w:sz w:val="22"/>
          <w:szCs w:val="22"/>
        </w:rPr>
        <w:t>Attorney-General</w:t>
      </w:r>
      <w:proofErr w:type="gramEnd"/>
      <w:r w:rsidRPr="001C0B7E">
        <w:rPr>
          <w:rFonts w:ascii="Garamond" w:hAnsi="Garamond"/>
          <w:sz w:val="22"/>
          <w:szCs w:val="22"/>
        </w:rPr>
        <w:t xml:space="preserve">’s Department. </w:t>
      </w:r>
      <w:proofErr w:type="gramStart"/>
      <w:r w:rsidRPr="001C0B7E">
        <w:rPr>
          <w:rFonts w:ascii="Garamond" w:hAnsi="Garamond"/>
          <w:sz w:val="22"/>
          <w:szCs w:val="22"/>
        </w:rPr>
        <w:t>Department of Families, Housing, Community Services and Indigenous Affairs.</w:t>
      </w:r>
      <w:proofErr w:type="gramEnd"/>
    </w:p>
    <w:p w14:paraId="3C9EEDB4"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lang w:val="en-US"/>
        </w:rPr>
        <w:t xml:space="preserve">Australian Government. (2005). </w:t>
      </w:r>
      <w:r w:rsidRPr="001C0B7E">
        <w:rPr>
          <w:rFonts w:ascii="Garamond" w:hAnsi="Garamond"/>
          <w:i/>
          <w:sz w:val="22"/>
          <w:szCs w:val="22"/>
          <w:lang w:val="en-US"/>
        </w:rPr>
        <w:t>A new family law system: Government response to Every Picture Tells a Story: Implementation plan for package of reforms</w:t>
      </w:r>
      <w:r w:rsidRPr="001C0B7E">
        <w:rPr>
          <w:rFonts w:ascii="Garamond" w:hAnsi="Garamond"/>
          <w:sz w:val="22"/>
          <w:szCs w:val="22"/>
          <w:lang w:val="en-US"/>
        </w:rPr>
        <w:t xml:space="preserve"> (Confidential paper). Canberra: Australian Government.</w:t>
      </w:r>
    </w:p>
    <w:p w14:paraId="3811E09E"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rPr>
        <w:t xml:space="preserve">Finlay, H. (2005). </w:t>
      </w:r>
      <w:r w:rsidRPr="001C0B7E">
        <w:rPr>
          <w:rFonts w:ascii="Garamond" w:hAnsi="Garamond"/>
          <w:i/>
          <w:iCs/>
          <w:sz w:val="22"/>
          <w:szCs w:val="22"/>
        </w:rPr>
        <w:t>To have but no to hold: A history of attitudes to marriage and divorce in Australia. 1858 - 1975</w:t>
      </w:r>
      <w:r w:rsidRPr="001C0B7E">
        <w:rPr>
          <w:rFonts w:ascii="Garamond" w:hAnsi="Garamond"/>
          <w:sz w:val="22"/>
          <w:szCs w:val="22"/>
        </w:rPr>
        <w:t xml:space="preserve"> Leichhardt, NSW: Federation Press.</w:t>
      </w:r>
    </w:p>
    <w:p w14:paraId="20E2D927"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rPr>
        <w:t xml:space="preserve">Fogarty, J. (2006) Thirty years of change. </w:t>
      </w:r>
      <w:proofErr w:type="gramStart"/>
      <w:r w:rsidRPr="001C0B7E">
        <w:rPr>
          <w:rFonts w:ascii="Garamond" w:hAnsi="Garamond"/>
          <w:i/>
          <w:iCs/>
          <w:sz w:val="22"/>
          <w:szCs w:val="22"/>
        </w:rPr>
        <w:t>Australian Family Lawyer 18</w:t>
      </w:r>
      <w:r w:rsidRPr="001C0B7E">
        <w:rPr>
          <w:rFonts w:ascii="Garamond" w:hAnsi="Garamond"/>
          <w:sz w:val="22"/>
          <w:szCs w:val="22"/>
        </w:rPr>
        <w:t>(4) 15-24.</w:t>
      </w:r>
      <w:proofErr w:type="gramEnd"/>
    </w:p>
    <w:p w14:paraId="39B17925" w14:textId="77777777" w:rsidR="001C0B7E" w:rsidRPr="001C0B7E" w:rsidRDefault="001C0B7E" w:rsidP="001C0B7E">
      <w:pPr>
        <w:ind w:left="720" w:hanging="720"/>
        <w:rPr>
          <w:rFonts w:ascii="Garamond" w:hAnsi="Garamond"/>
          <w:sz w:val="22"/>
          <w:szCs w:val="22"/>
        </w:rPr>
      </w:pPr>
      <w:proofErr w:type="gramStart"/>
      <w:r w:rsidRPr="001C0B7E">
        <w:rPr>
          <w:rFonts w:ascii="Garamond" w:hAnsi="Garamond"/>
          <w:sz w:val="22"/>
          <w:szCs w:val="22"/>
          <w:lang w:val="en-US"/>
        </w:rPr>
        <w:t>House of Representatives Standing Committee on Family and Community Affairs (2003).</w:t>
      </w:r>
      <w:proofErr w:type="gramEnd"/>
      <w:r w:rsidRPr="001C0B7E">
        <w:rPr>
          <w:rFonts w:ascii="Garamond" w:hAnsi="Garamond"/>
          <w:sz w:val="22"/>
          <w:szCs w:val="22"/>
          <w:lang w:val="en-US"/>
        </w:rPr>
        <w:t xml:space="preserve"> </w:t>
      </w:r>
      <w:r w:rsidRPr="001C0B7E">
        <w:rPr>
          <w:rFonts w:ascii="Garamond" w:hAnsi="Garamond"/>
          <w:i/>
          <w:iCs/>
          <w:sz w:val="22"/>
          <w:szCs w:val="22"/>
          <w:lang w:val="en-US"/>
        </w:rPr>
        <w:t>Every picture tells a story: Report on the inquiry into child custody arrangements in the event of family separation</w:t>
      </w:r>
      <w:r w:rsidRPr="001C0B7E">
        <w:rPr>
          <w:rFonts w:ascii="Garamond" w:hAnsi="Garamond"/>
          <w:sz w:val="22"/>
          <w:szCs w:val="22"/>
          <w:lang w:val="en-US"/>
        </w:rPr>
        <w:t>. Canberra: Commonwealth of Australia.</w:t>
      </w:r>
    </w:p>
    <w:p w14:paraId="68816152" w14:textId="77777777" w:rsidR="001C0B7E" w:rsidRPr="001C0B7E" w:rsidRDefault="001C0B7E" w:rsidP="001C0B7E">
      <w:pPr>
        <w:ind w:left="720" w:hanging="720"/>
        <w:rPr>
          <w:rFonts w:ascii="Garamond" w:hAnsi="Garamond"/>
          <w:sz w:val="22"/>
          <w:szCs w:val="22"/>
        </w:rPr>
      </w:pPr>
      <w:proofErr w:type="gramStart"/>
      <w:r w:rsidRPr="001C0B7E">
        <w:rPr>
          <w:rFonts w:ascii="Garamond" w:hAnsi="Garamond"/>
          <w:sz w:val="22"/>
          <w:szCs w:val="22"/>
        </w:rPr>
        <w:t xml:space="preserve">Johnston, J., </w:t>
      </w:r>
      <w:proofErr w:type="spellStart"/>
      <w:r w:rsidRPr="001C0B7E">
        <w:rPr>
          <w:rFonts w:ascii="Garamond" w:hAnsi="Garamond"/>
          <w:sz w:val="22"/>
          <w:szCs w:val="22"/>
        </w:rPr>
        <w:t>Roseby</w:t>
      </w:r>
      <w:proofErr w:type="spellEnd"/>
      <w:r w:rsidRPr="001C0B7E">
        <w:rPr>
          <w:rFonts w:ascii="Garamond" w:hAnsi="Garamond"/>
          <w:sz w:val="22"/>
          <w:szCs w:val="22"/>
        </w:rPr>
        <w:t xml:space="preserve">, V., &amp; </w:t>
      </w:r>
      <w:proofErr w:type="spellStart"/>
      <w:r w:rsidRPr="001C0B7E">
        <w:rPr>
          <w:rFonts w:ascii="Garamond" w:hAnsi="Garamond"/>
          <w:sz w:val="22"/>
          <w:szCs w:val="22"/>
        </w:rPr>
        <w:t>Kuehnle</w:t>
      </w:r>
      <w:proofErr w:type="spellEnd"/>
      <w:r w:rsidRPr="001C0B7E">
        <w:rPr>
          <w:rFonts w:ascii="Garamond" w:hAnsi="Garamond"/>
          <w:sz w:val="22"/>
          <w:szCs w:val="22"/>
        </w:rPr>
        <w:t>, K. (2009).</w:t>
      </w:r>
      <w:proofErr w:type="gramEnd"/>
      <w:r w:rsidRPr="001C0B7E">
        <w:rPr>
          <w:rFonts w:ascii="Garamond" w:hAnsi="Garamond"/>
          <w:sz w:val="22"/>
          <w:szCs w:val="22"/>
        </w:rPr>
        <w:t xml:space="preserve"> </w:t>
      </w:r>
      <w:r w:rsidRPr="001C0B7E">
        <w:rPr>
          <w:rFonts w:ascii="Garamond" w:hAnsi="Garamond"/>
          <w:i/>
          <w:iCs/>
          <w:sz w:val="22"/>
          <w:szCs w:val="22"/>
        </w:rPr>
        <w:t>In the name of the child: A developmental approach to understanding and helping children of conflicted and violent divorce</w:t>
      </w:r>
      <w:r w:rsidRPr="001C0B7E">
        <w:rPr>
          <w:rFonts w:ascii="Garamond" w:hAnsi="Garamond"/>
          <w:sz w:val="22"/>
          <w:szCs w:val="22"/>
        </w:rPr>
        <w:t>. New York: Springer Publishing.</w:t>
      </w:r>
    </w:p>
    <w:p w14:paraId="467F81AC" w14:textId="77777777" w:rsidR="001C0B7E" w:rsidRPr="001C0B7E" w:rsidRDefault="001C0B7E" w:rsidP="001C0B7E">
      <w:pPr>
        <w:ind w:left="720" w:hanging="720"/>
        <w:rPr>
          <w:rFonts w:ascii="Garamond" w:hAnsi="Garamond"/>
          <w:sz w:val="22"/>
          <w:szCs w:val="22"/>
        </w:rPr>
      </w:pPr>
      <w:proofErr w:type="spellStart"/>
      <w:r w:rsidRPr="001C0B7E">
        <w:rPr>
          <w:rFonts w:ascii="Garamond" w:hAnsi="Garamond"/>
          <w:sz w:val="22"/>
          <w:szCs w:val="22"/>
        </w:rPr>
        <w:t>Kaspiew</w:t>
      </w:r>
      <w:proofErr w:type="spellEnd"/>
      <w:r w:rsidRPr="001C0B7E">
        <w:rPr>
          <w:rFonts w:ascii="Garamond" w:hAnsi="Garamond"/>
          <w:sz w:val="22"/>
          <w:szCs w:val="22"/>
        </w:rPr>
        <w:t xml:space="preserve">, R., </w:t>
      </w:r>
      <w:proofErr w:type="spellStart"/>
      <w:r w:rsidRPr="001C0B7E">
        <w:rPr>
          <w:rFonts w:ascii="Garamond" w:hAnsi="Garamond"/>
          <w:sz w:val="22"/>
          <w:szCs w:val="22"/>
        </w:rPr>
        <w:t>Gray</w:t>
      </w:r>
      <w:proofErr w:type="spellEnd"/>
      <w:r w:rsidRPr="001C0B7E">
        <w:rPr>
          <w:rFonts w:ascii="Garamond" w:hAnsi="Garamond"/>
          <w:sz w:val="22"/>
          <w:szCs w:val="22"/>
        </w:rPr>
        <w:t xml:space="preserve">, M., Weston, R., Moloney, L., Hand, K., </w:t>
      </w:r>
      <w:proofErr w:type="spellStart"/>
      <w:r w:rsidRPr="001C0B7E">
        <w:rPr>
          <w:rFonts w:ascii="Garamond" w:hAnsi="Garamond"/>
          <w:sz w:val="22"/>
          <w:szCs w:val="22"/>
        </w:rPr>
        <w:t>Qu</w:t>
      </w:r>
      <w:proofErr w:type="spellEnd"/>
      <w:r w:rsidRPr="001C0B7E">
        <w:rPr>
          <w:rFonts w:ascii="Garamond" w:hAnsi="Garamond"/>
          <w:sz w:val="22"/>
          <w:szCs w:val="22"/>
        </w:rPr>
        <w:t>, L., &amp; the Family Law Evaluation Team. (2009)</w:t>
      </w:r>
      <w:proofErr w:type="gramStart"/>
      <w:r w:rsidRPr="001C0B7E">
        <w:rPr>
          <w:rFonts w:ascii="Garamond" w:hAnsi="Garamond"/>
          <w:sz w:val="22"/>
          <w:szCs w:val="22"/>
        </w:rPr>
        <w:t xml:space="preserve">. </w:t>
      </w:r>
      <w:r w:rsidRPr="001C0B7E">
        <w:rPr>
          <w:rFonts w:ascii="Garamond" w:hAnsi="Garamond"/>
          <w:i/>
          <w:iCs/>
          <w:sz w:val="22"/>
          <w:szCs w:val="22"/>
        </w:rPr>
        <w:t>Evaluation of the 2006 family law reforms</w:t>
      </w:r>
      <w:r w:rsidRPr="001C0B7E">
        <w:rPr>
          <w:rFonts w:ascii="Garamond" w:hAnsi="Garamond"/>
          <w:sz w:val="22"/>
          <w:szCs w:val="22"/>
        </w:rPr>
        <w:t>.</w:t>
      </w:r>
      <w:proofErr w:type="gramEnd"/>
      <w:r w:rsidRPr="001C0B7E">
        <w:rPr>
          <w:rFonts w:ascii="Garamond" w:hAnsi="Garamond"/>
          <w:sz w:val="22"/>
          <w:szCs w:val="22"/>
        </w:rPr>
        <w:t xml:space="preserve"> Melbourne: Australian Institute of Family Studies. Retrieved from &lt;www.aifs.gov.au/institute/pubs/fle&gt;.</w:t>
      </w:r>
    </w:p>
    <w:p w14:paraId="42473527" w14:textId="77777777" w:rsidR="001C0B7E" w:rsidRPr="001C0B7E" w:rsidRDefault="001C0B7E" w:rsidP="001C0B7E">
      <w:pPr>
        <w:ind w:left="720" w:hanging="720"/>
        <w:rPr>
          <w:rFonts w:ascii="Garamond" w:hAnsi="Garamond"/>
          <w:sz w:val="22"/>
          <w:szCs w:val="22"/>
        </w:rPr>
      </w:pPr>
      <w:proofErr w:type="spellStart"/>
      <w:r w:rsidRPr="001C0B7E">
        <w:rPr>
          <w:rFonts w:ascii="Garamond" w:hAnsi="Garamond"/>
          <w:sz w:val="22"/>
          <w:szCs w:val="22"/>
          <w:lang w:val="en-US"/>
        </w:rPr>
        <w:t>Kaspiew</w:t>
      </w:r>
      <w:proofErr w:type="spellEnd"/>
      <w:r w:rsidRPr="001C0B7E">
        <w:rPr>
          <w:rFonts w:ascii="Garamond" w:hAnsi="Garamond"/>
          <w:sz w:val="22"/>
          <w:szCs w:val="22"/>
          <w:lang w:val="en-US"/>
        </w:rPr>
        <w:t xml:space="preserve">, R., Moloney, L., Dunstan, J. </w:t>
      </w:r>
      <w:proofErr w:type="gramStart"/>
      <w:r w:rsidRPr="001C0B7E">
        <w:rPr>
          <w:rFonts w:ascii="Garamond" w:hAnsi="Garamond"/>
          <w:sz w:val="22"/>
          <w:szCs w:val="22"/>
          <w:lang w:val="en-US"/>
        </w:rPr>
        <w:t>&amp;  De</w:t>
      </w:r>
      <w:proofErr w:type="gramEnd"/>
      <w:r w:rsidRPr="001C0B7E">
        <w:rPr>
          <w:rFonts w:ascii="Garamond" w:hAnsi="Garamond"/>
          <w:sz w:val="22"/>
          <w:szCs w:val="22"/>
          <w:lang w:val="en-US"/>
        </w:rPr>
        <w:t xml:space="preserve"> </w:t>
      </w:r>
      <w:proofErr w:type="spellStart"/>
      <w:r w:rsidRPr="001C0B7E">
        <w:rPr>
          <w:rFonts w:ascii="Garamond" w:hAnsi="Garamond"/>
          <w:sz w:val="22"/>
          <w:szCs w:val="22"/>
          <w:lang w:val="en-US"/>
        </w:rPr>
        <w:t>Maio</w:t>
      </w:r>
      <w:proofErr w:type="spellEnd"/>
      <w:r w:rsidRPr="001C0B7E">
        <w:rPr>
          <w:rFonts w:ascii="Garamond" w:hAnsi="Garamond"/>
          <w:sz w:val="22"/>
          <w:szCs w:val="22"/>
          <w:lang w:val="en-US"/>
        </w:rPr>
        <w:t>, J. (2015)  Family law court filings 2004-05 to 2012-13 Research Report No. 30 — February 2015. Melbourne, Australian Institute of Family Studies.</w:t>
      </w:r>
    </w:p>
    <w:p w14:paraId="40CEE55F"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rPr>
        <w:t xml:space="preserve">Moloney, L. (2013) From “helping court” to community-bases services. The evolution of Australia’s Family Relationship </w:t>
      </w:r>
      <w:proofErr w:type="gramStart"/>
      <w:r w:rsidRPr="001C0B7E">
        <w:rPr>
          <w:rFonts w:ascii="Garamond" w:hAnsi="Garamond"/>
          <w:sz w:val="22"/>
          <w:szCs w:val="22"/>
        </w:rPr>
        <w:t>Centres .</w:t>
      </w:r>
      <w:proofErr w:type="gramEnd"/>
      <w:r w:rsidRPr="001C0B7E">
        <w:rPr>
          <w:rFonts w:ascii="Garamond" w:hAnsi="Garamond"/>
          <w:sz w:val="22"/>
          <w:szCs w:val="22"/>
        </w:rPr>
        <w:t xml:space="preserve"> </w:t>
      </w:r>
      <w:proofErr w:type="gramStart"/>
      <w:r w:rsidRPr="001C0B7E">
        <w:rPr>
          <w:rFonts w:ascii="Garamond" w:hAnsi="Garamond"/>
          <w:i/>
          <w:iCs/>
          <w:sz w:val="22"/>
          <w:szCs w:val="22"/>
        </w:rPr>
        <w:t>Family Court Review 51</w:t>
      </w:r>
      <w:r w:rsidRPr="001C0B7E">
        <w:rPr>
          <w:rFonts w:ascii="Garamond" w:hAnsi="Garamond"/>
          <w:sz w:val="22"/>
          <w:szCs w:val="22"/>
        </w:rPr>
        <w:t xml:space="preserve"> (2) 214-223.</w:t>
      </w:r>
      <w:proofErr w:type="gramEnd"/>
    </w:p>
    <w:p w14:paraId="5C423CEF"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rPr>
        <w:t xml:space="preserve">Moloney, L. &amp; McIntosh, J (2006) </w:t>
      </w:r>
      <w:r w:rsidRPr="001C0B7E">
        <w:rPr>
          <w:rFonts w:ascii="Garamond" w:hAnsi="Garamond"/>
          <w:i/>
          <w:iCs/>
          <w:sz w:val="22"/>
          <w:szCs w:val="22"/>
        </w:rPr>
        <w:t xml:space="preserve">Child focused dialogues. Theoretical and clinical underpinnings of child focused dispute resolution. </w:t>
      </w:r>
      <w:proofErr w:type="gramStart"/>
      <w:r w:rsidRPr="001C0B7E">
        <w:rPr>
          <w:rFonts w:ascii="Garamond" w:hAnsi="Garamond"/>
          <w:sz w:val="22"/>
          <w:szCs w:val="22"/>
        </w:rPr>
        <w:t>DVD companion handbook.</w:t>
      </w:r>
      <w:proofErr w:type="gramEnd"/>
      <w:r w:rsidRPr="001C0B7E">
        <w:rPr>
          <w:rFonts w:ascii="Garamond" w:hAnsi="Garamond"/>
          <w:sz w:val="22"/>
          <w:szCs w:val="22"/>
        </w:rPr>
        <w:t xml:space="preserve"> Canberra: Attorney General’s Department</w:t>
      </w:r>
    </w:p>
    <w:p w14:paraId="74288B57"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lang w:val="en-US"/>
        </w:rPr>
        <w:t xml:space="preserve">Moloney, L., </w:t>
      </w:r>
      <w:proofErr w:type="spellStart"/>
      <w:r w:rsidRPr="001C0B7E">
        <w:rPr>
          <w:rFonts w:ascii="Garamond" w:hAnsi="Garamond"/>
          <w:sz w:val="22"/>
          <w:szCs w:val="22"/>
          <w:lang w:val="en-US"/>
        </w:rPr>
        <w:t>Qu</w:t>
      </w:r>
      <w:proofErr w:type="spellEnd"/>
      <w:r w:rsidRPr="001C0B7E">
        <w:rPr>
          <w:rFonts w:ascii="Garamond" w:hAnsi="Garamond"/>
          <w:sz w:val="22"/>
          <w:szCs w:val="22"/>
          <w:lang w:val="en-US"/>
        </w:rPr>
        <w:t xml:space="preserve">, L., Weston, R. &amp; Hand, K. (2013) Evaluating the work of Australia’s </w:t>
      </w:r>
      <w:proofErr w:type="gramStart"/>
      <w:r w:rsidRPr="001C0B7E">
        <w:rPr>
          <w:rFonts w:ascii="Garamond" w:hAnsi="Garamond"/>
          <w:sz w:val="22"/>
          <w:szCs w:val="22"/>
          <w:lang w:val="en-US"/>
        </w:rPr>
        <w:t>Family  Relationship</w:t>
      </w:r>
      <w:proofErr w:type="gramEnd"/>
      <w:r w:rsidRPr="001C0B7E">
        <w:rPr>
          <w:rFonts w:ascii="Garamond" w:hAnsi="Garamond"/>
          <w:sz w:val="22"/>
          <w:szCs w:val="22"/>
          <w:lang w:val="en-US"/>
        </w:rPr>
        <w:t xml:space="preserve"> </w:t>
      </w:r>
      <w:proofErr w:type="spellStart"/>
      <w:r w:rsidRPr="001C0B7E">
        <w:rPr>
          <w:rFonts w:ascii="Garamond" w:hAnsi="Garamond"/>
          <w:sz w:val="22"/>
          <w:szCs w:val="22"/>
          <w:lang w:val="en-US"/>
        </w:rPr>
        <w:t>Centres</w:t>
      </w:r>
      <w:proofErr w:type="spellEnd"/>
      <w:r w:rsidRPr="001C0B7E">
        <w:rPr>
          <w:rFonts w:ascii="Garamond" w:hAnsi="Garamond"/>
          <w:sz w:val="22"/>
          <w:szCs w:val="22"/>
          <w:lang w:val="en-US"/>
        </w:rPr>
        <w:t xml:space="preserve">. </w:t>
      </w:r>
      <w:proofErr w:type="gramStart"/>
      <w:r w:rsidRPr="001C0B7E">
        <w:rPr>
          <w:rFonts w:ascii="Garamond" w:hAnsi="Garamond"/>
          <w:sz w:val="22"/>
          <w:szCs w:val="22"/>
          <w:lang w:val="en-US"/>
        </w:rPr>
        <w:t>Evidence from the first five years.</w:t>
      </w:r>
      <w:proofErr w:type="gramEnd"/>
      <w:r w:rsidRPr="001C0B7E">
        <w:rPr>
          <w:rFonts w:ascii="Garamond" w:hAnsi="Garamond"/>
          <w:sz w:val="22"/>
          <w:szCs w:val="22"/>
          <w:lang w:val="en-US"/>
        </w:rPr>
        <w:t xml:space="preserve"> </w:t>
      </w:r>
      <w:proofErr w:type="gramStart"/>
      <w:r w:rsidRPr="001C0B7E">
        <w:rPr>
          <w:rFonts w:ascii="Garamond" w:hAnsi="Garamond"/>
          <w:i/>
          <w:iCs/>
          <w:sz w:val="22"/>
          <w:szCs w:val="22"/>
          <w:lang w:val="en-US"/>
        </w:rPr>
        <w:t xml:space="preserve">Family Court Review 51 </w:t>
      </w:r>
      <w:r w:rsidRPr="001C0B7E">
        <w:rPr>
          <w:rFonts w:ascii="Garamond" w:hAnsi="Garamond"/>
          <w:sz w:val="22"/>
          <w:szCs w:val="22"/>
          <w:lang w:val="en-US"/>
        </w:rPr>
        <w:t>(2) 234-249.</w:t>
      </w:r>
      <w:proofErr w:type="gramEnd"/>
    </w:p>
    <w:p w14:paraId="527685BC" w14:textId="77777777" w:rsidR="001C0B7E" w:rsidRPr="001C0B7E" w:rsidRDefault="001C0B7E" w:rsidP="001C0B7E">
      <w:pPr>
        <w:ind w:left="720" w:hanging="720"/>
        <w:rPr>
          <w:rFonts w:ascii="Garamond" w:hAnsi="Garamond"/>
          <w:sz w:val="22"/>
          <w:szCs w:val="22"/>
        </w:rPr>
      </w:pPr>
      <w:proofErr w:type="gramStart"/>
      <w:r w:rsidRPr="001C0B7E">
        <w:rPr>
          <w:rFonts w:ascii="Garamond" w:hAnsi="Garamond"/>
          <w:sz w:val="22"/>
          <w:szCs w:val="22"/>
          <w:lang w:val="en-US"/>
        </w:rPr>
        <w:t xml:space="preserve">Moloney, L. </w:t>
      </w:r>
      <w:proofErr w:type="spellStart"/>
      <w:r w:rsidRPr="001C0B7E">
        <w:rPr>
          <w:rFonts w:ascii="Garamond" w:hAnsi="Garamond"/>
          <w:sz w:val="22"/>
          <w:szCs w:val="22"/>
          <w:lang w:val="en-US"/>
        </w:rPr>
        <w:t>Kaspiew</w:t>
      </w:r>
      <w:proofErr w:type="spellEnd"/>
      <w:r w:rsidRPr="001C0B7E">
        <w:rPr>
          <w:rFonts w:ascii="Garamond" w:hAnsi="Garamond"/>
          <w:sz w:val="22"/>
          <w:szCs w:val="22"/>
          <w:lang w:val="en-US"/>
        </w:rPr>
        <w:t xml:space="preserve">, R., De </w:t>
      </w:r>
      <w:proofErr w:type="spellStart"/>
      <w:r w:rsidRPr="001C0B7E">
        <w:rPr>
          <w:rFonts w:ascii="Garamond" w:hAnsi="Garamond"/>
          <w:sz w:val="22"/>
          <w:szCs w:val="22"/>
          <w:lang w:val="en-US"/>
        </w:rPr>
        <w:t>Maio</w:t>
      </w:r>
      <w:proofErr w:type="spellEnd"/>
      <w:r w:rsidRPr="001C0B7E">
        <w:rPr>
          <w:rFonts w:ascii="Garamond" w:hAnsi="Garamond"/>
          <w:sz w:val="22"/>
          <w:szCs w:val="22"/>
          <w:lang w:val="en-US"/>
        </w:rPr>
        <w:t xml:space="preserve">, J &amp; </w:t>
      </w:r>
      <w:proofErr w:type="spellStart"/>
      <w:r w:rsidRPr="001C0B7E">
        <w:rPr>
          <w:rFonts w:ascii="Garamond" w:hAnsi="Garamond"/>
          <w:sz w:val="22"/>
          <w:szCs w:val="22"/>
          <w:lang w:val="en-US"/>
        </w:rPr>
        <w:t>Deblaquiere</w:t>
      </w:r>
      <w:proofErr w:type="spellEnd"/>
      <w:r w:rsidRPr="001C0B7E">
        <w:rPr>
          <w:rFonts w:ascii="Garamond" w:hAnsi="Garamond"/>
          <w:sz w:val="22"/>
          <w:szCs w:val="22"/>
          <w:lang w:val="en-US"/>
        </w:rPr>
        <w:t xml:space="preserve">, J. (2013) Family Relationship </w:t>
      </w:r>
      <w:proofErr w:type="spellStart"/>
      <w:r w:rsidRPr="001C0B7E">
        <w:rPr>
          <w:rFonts w:ascii="Garamond" w:hAnsi="Garamond"/>
          <w:sz w:val="22"/>
          <w:szCs w:val="22"/>
          <w:lang w:val="en-US"/>
        </w:rPr>
        <w:t>Centres</w:t>
      </w:r>
      <w:proofErr w:type="spellEnd"/>
      <w:r w:rsidRPr="001C0B7E">
        <w:rPr>
          <w:rFonts w:ascii="Garamond" w:hAnsi="Garamond"/>
          <w:sz w:val="22"/>
          <w:szCs w:val="22"/>
          <w:lang w:val="en-US"/>
        </w:rPr>
        <w:t>; partnerships with legal assistance services.</w:t>
      </w:r>
      <w:proofErr w:type="gramEnd"/>
      <w:r w:rsidRPr="001C0B7E">
        <w:rPr>
          <w:rFonts w:ascii="Garamond" w:hAnsi="Garamond"/>
          <w:sz w:val="22"/>
          <w:szCs w:val="22"/>
          <w:lang w:val="en-US"/>
        </w:rPr>
        <w:t xml:space="preserve"> </w:t>
      </w:r>
      <w:proofErr w:type="gramStart"/>
      <w:r w:rsidRPr="001C0B7E">
        <w:rPr>
          <w:rFonts w:ascii="Garamond" w:hAnsi="Garamond"/>
          <w:i/>
          <w:iCs/>
          <w:sz w:val="22"/>
          <w:szCs w:val="22"/>
          <w:lang w:val="en-US"/>
        </w:rPr>
        <w:t>Family Court Review 51</w:t>
      </w:r>
      <w:r w:rsidRPr="001C0B7E">
        <w:rPr>
          <w:rFonts w:ascii="Garamond" w:hAnsi="Garamond"/>
          <w:sz w:val="22"/>
          <w:szCs w:val="22"/>
          <w:lang w:val="en-US"/>
        </w:rPr>
        <w:t xml:space="preserve"> (2) 250-257.</w:t>
      </w:r>
      <w:proofErr w:type="gramEnd"/>
    </w:p>
    <w:p w14:paraId="568B7D4E"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lang w:val="en-US"/>
        </w:rPr>
        <w:t xml:space="preserve">Moloney, L. (2014). </w:t>
      </w:r>
      <w:proofErr w:type="gramStart"/>
      <w:r w:rsidRPr="001C0B7E">
        <w:rPr>
          <w:rFonts w:ascii="Garamond" w:hAnsi="Garamond"/>
          <w:sz w:val="22"/>
          <w:szCs w:val="22"/>
          <w:lang w:val="en-US"/>
        </w:rPr>
        <w:t>Lionel Murphy and the dignified divorce.</w:t>
      </w:r>
      <w:proofErr w:type="gramEnd"/>
      <w:r w:rsidRPr="001C0B7E">
        <w:rPr>
          <w:rFonts w:ascii="Garamond" w:hAnsi="Garamond"/>
          <w:sz w:val="22"/>
          <w:szCs w:val="22"/>
          <w:lang w:val="en-US"/>
        </w:rPr>
        <w:t xml:space="preserve"> Of dreams and data. In A Hayes and D. Higgins.  </w:t>
      </w:r>
      <w:proofErr w:type="gramStart"/>
      <w:r w:rsidRPr="001C0B7E">
        <w:rPr>
          <w:rFonts w:ascii="Garamond" w:hAnsi="Garamond"/>
          <w:i/>
          <w:iCs/>
          <w:sz w:val="22"/>
          <w:szCs w:val="22"/>
          <w:lang w:val="en-US"/>
        </w:rPr>
        <w:t>Contemporary issues in family law.</w:t>
      </w:r>
      <w:proofErr w:type="gramEnd"/>
      <w:r w:rsidRPr="001C0B7E">
        <w:rPr>
          <w:rFonts w:ascii="Garamond" w:hAnsi="Garamond"/>
          <w:i/>
          <w:iCs/>
          <w:sz w:val="22"/>
          <w:szCs w:val="22"/>
          <w:lang w:val="en-US"/>
        </w:rPr>
        <w:t xml:space="preserve"> </w:t>
      </w:r>
      <w:r w:rsidRPr="001C0B7E">
        <w:rPr>
          <w:rFonts w:ascii="Garamond" w:hAnsi="Garamond"/>
          <w:sz w:val="22"/>
          <w:szCs w:val="22"/>
          <w:lang w:val="en-US"/>
        </w:rPr>
        <w:t>Melbourne: Australian Institute of Family Studies 245-257.</w:t>
      </w:r>
    </w:p>
    <w:p w14:paraId="40530B27"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lang w:val="en-US"/>
        </w:rPr>
        <w:t xml:space="preserve">Moloney, L., Smyth, B., Weston, R., Richardson, N., </w:t>
      </w:r>
      <w:proofErr w:type="spellStart"/>
      <w:r w:rsidRPr="001C0B7E">
        <w:rPr>
          <w:rFonts w:ascii="Garamond" w:hAnsi="Garamond"/>
          <w:sz w:val="22"/>
          <w:szCs w:val="22"/>
          <w:lang w:val="en-US"/>
        </w:rPr>
        <w:t>Qu</w:t>
      </w:r>
      <w:proofErr w:type="spellEnd"/>
      <w:r w:rsidRPr="001C0B7E">
        <w:rPr>
          <w:rFonts w:ascii="Garamond" w:hAnsi="Garamond"/>
          <w:sz w:val="22"/>
          <w:szCs w:val="22"/>
          <w:lang w:val="en-US"/>
        </w:rPr>
        <w:t xml:space="preserve">, L., &amp; Gray, M. (2007). </w:t>
      </w:r>
      <w:r w:rsidRPr="001C0B7E">
        <w:rPr>
          <w:rFonts w:ascii="Garamond" w:hAnsi="Garamond"/>
          <w:i/>
          <w:iCs/>
          <w:sz w:val="22"/>
          <w:szCs w:val="22"/>
          <w:lang w:val="en-US"/>
        </w:rPr>
        <w:t xml:space="preserve">Allegations of family violence and child abuse in family law children’s proceedings: A pre-reform exploratory study. </w:t>
      </w:r>
      <w:r w:rsidRPr="001C0B7E">
        <w:rPr>
          <w:rFonts w:ascii="Garamond" w:hAnsi="Garamond"/>
          <w:sz w:val="22"/>
          <w:szCs w:val="22"/>
          <w:lang w:val="en-US"/>
        </w:rPr>
        <w:t>Melbourne: Australian Institute of Family Studies.</w:t>
      </w:r>
    </w:p>
    <w:p w14:paraId="4CDFADA2"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lang w:val="en-US"/>
        </w:rPr>
        <w:t xml:space="preserve">Neff, R., &amp; Cooper, K. (2004). Parental conflict resolution: Six-, twelve-, and fifteen-month follow-ups of a high-conflict program. </w:t>
      </w:r>
      <w:r w:rsidRPr="001C0B7E">
        <w:rPr>
          <w:rFonts w:ascii="Garamond" w:hAnsi="Garamond"/>
          <w:i/>
          <w:iCs/>
          <w:sz w:val="22"/>
          <w:szCs w:val="22"/>
          <w:lang w:val="en-US"/>
        </w:rPr>
        <w:t>Family Court Review</w:t>
      </w:r>
      <w:r w:rsidRPr="001C0B7E">
        <w:rPr>
          <w:rFonts w:ascii="Garamond" w:hAnsi="Garamond"/>
          <w:sz w:val="22"/>
          <w:szCs w:val="22"/>
          <w:lang w:val="en-US"/>
        </w:rPr>
        <w:t xml:space="preserve">, 42(1), 99–114. </w:t>
      </w:r>
    </w:p>
    <w:p w14:paraId="3C151138"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rPr>
        <w:t xml:space="preserve">Parkinson, P. (2013) The idea of Family Relationships Centres in Australia. </w:t>
      </w:r>
      <w:proofErr w:type="gramStart"/>
      <w:r w:rsidRPr="001C0B7E">
        <w:rPr>
          <w:rFonts w:ascii="Garamond" w:hAnsi="Garamond"/>
          <w:i/>
          <w:iCs/>
          <w:sz w:val="22"/>
          <w:szCs w:val="22"/>
        </w:rPr>
        <w:t xml:space="preserve">Family Court Review 51 </w:t>
      </w:r>
      <w:r w:rsidRPr="001C0B7E">
        <w:rPr>
          <w:rFonts w:ascii="Garamond" w:hAnsi="Garamond"/>
          <w:sz w:val="22"/>
          <w:szCs w:val="22"/>
        </w:rPr>
        <w:t>(2) 195-213.</w:t>
      </w:r>
      <w:proofErr w:type="gramEnd"/>
      <w:r w:rsidRPr="001C0B7E">
        <w:rPr>
          <w:rFonts w:ascii="Garamond" w:hAnsi="Garamond"/>
          <w:sz w:val="22"/>
          <w:szCs w:val="22"/>
        </w:rPr>
        <w:t xml:space="preserve"> </w:t>
      </w:r>
    </w:p>
    <w:p w14:paraId="0F42645E" w14:textId="77777777" w:rsidR="001C0B7E" w:rsidRPr="001C0B7E" w:rsidRDefault="001C0B7E" w:rsidP="001C0B7E">
      <w:pPr>
        <w:ind w:left="720" w:hanging="720"/>
        <w:rPr>
          <w:rFonts w:ascii="Garamond" w:hAnsi="Garamond"/>
          <w:sz w:val="22"/>
          <w:szCs w:val="22"/>
        </w:rPr>
      </w:pPr>
      <w:proofErr w:type="spellStart"/>
      <w:r w:rsidRPr="001C0B7E">
        <w:rPr>
          <w:rFonts w:ascii="Garamond" w:hAnsi="Garamond"/>
          <w:sz w:val="22"/>
          <w:szCs w:val="22"/>
        </w:rPr>
        <w:t>Qu</w:t>
      </w:r>
      <w:proofErr w:type="spellEnd"/>
      <w:r w:rsidRPr="001C0B7E">
        <w:rPr>
          <w:rFonts w:ascii="Garamond" w:hAnsi="Garamond"/>
          <w:sz w:val="22"/>
          <w:szCs w:val="22"/>
        </w:rPr>
        <w:t xml:space="preserve">, L., &amp; Weston, R. (2010). </w:t>
      </w:r>
      <w:r w:rsidRPr="001C0B7E">
        <w:rPr>
          <w:rFonts w:ascii="Garamond" w:hAnsi="Garamond"/>
          <w:i/>
          <w:iCs/>
          <w:sz w:val="22"/>
          <w:szCs w:val="22"/>
        </w:rPr>
        <w:t>Parenting dynamics after separation: A follow-up study of parents who separated after the 2006 family law reforms</w:t>
      </w:r>
      <w:r w:rsidRPr="001C0B7E">
        <w:rPr>
          <w:rFonts w:ascii="Garamond" w:hAnsi="Garamond"/>
          <w:sz w:val="22"/>
          <w:szCs w:val="22"/>
        </w:rPr>
        <w:t>. Melbourne: Australian Institute of Family Studies. Retrieved from &lt;tinyurl.com/</w:t>
      </w:r>
      <w:proofErr w:type="spellStart"/>
      <w:r w:rsidRPr="001C0B7E">
        <w:rPr>
          <w:rFonts w:ascii="Garamond" w:hAnsi="Garamond"/>
          <w:sz w:val="22"/>
          <w:szCs w:val="22"/>
        </w:rPr>
        <w:t>bwwdrqq</w:t>
      </w:r>
      <w:proofErr w:type="spellEnd"/>
      <w:r w:rsidRPr="001C0B7E">
        <w:rPr>
          <w:rFonts w:ascii="Garamond" w:hAnsi="Garamond"/>
          <w:sz w:val="22"/>
          <w:szCs w:val="22"/>
        </w:rPr>
        <w:t>&gt;.</w:t>
      </w:r>
    </w:p>
    <w:p w14:paraId="01112785" w14:textId="77777777" w:rsidR="001C0B7E" w:rsidRPr="001C0B7E" w:rsidRDefault="001C0B7E" w:rsidP="001C0B7E">
      <w:pPr>
        <w:ind w:left="720" w:hanging="720"/>
        <w:rPr>
          <w:rFonts w:ascii="Garamond" w:hAnsi="Garamond"/>
          <w:sz w:val="22"/>
          <w:szCs w:val="22"/>
        </w:rPr>
      </w:pPr>
      <w:proofErr w:type="spellStart"/>
      <w:r w:rsidRPr="001C0B7E">
        <w:rPr>
          <w:rFonts w:ascii="Garamond" w:hAnsi="Garamond"/>
          <w:sz w:val="22"/>
          <w:szCs w:val="22"/>
        </w:rPr>
        <w:t>Qu</w:t>
      </w:r>
      <w:proofErr w:type="spellEnd"/>
      <w:r w:rsidRPr="001C0B7E">
        <w:rPr>
          <w:rFonts w:ascii="Garamond" w:hAnsi="Garamond"/>
          <w:sz w:val="22"/>
          <w:szCs w:val="22"/>
        </w:rPr>
        <w:t xml:space="preserve">, L., Weston, R., Moloney, L., </w:t>
      </w:r>
      <w:proofErr w:type="spellStart"/>
      <w:r w:rsidRPr="001C0B7E">
        <w:rPr>
          <w:rFonts w:ascii="Garamond" w:hAnsi="Garamond"/>
          <w:sz w:val="22"/>
          <w:szCs w:val="22"/>
        </w:rPr>
        <w:t>Kaspiew</w:t>
      </w:r>
      <w:proofErr w:type="spellEnd"/>
      <w:r w:rsidRPr="001C0B7E">
        <w:rPr>
          <w:rFonts w:ascii="Garamond" w:hAnsi="Garamond"/>
          <w:sz w:val="22"/>
          <w:szCs w:val="22"/>
        </w:rPr>
        <w:t xml:space="preserve">, R., &amp; Dunstan, J. (2014). </w:t>
      </w:r>
      <w:proofErr w:type="gramStart"/>
      <w:r w:rsidRPr="001C0B7E">
        <w:rPr>
          <w:rFonts w:ascii="Garamond" w:hAnsi="Garamond"/>
          <w:i/>
          <w:iCs/>
          <w:sz w:val="22"/>
          <w:szCs w:val="22"/>
        </w:rPr>
        <w:t>Post-separation parenting, property and relationship dynamics after five years</w:t>
      </w:r>
      <w:r w:rsidRPr="001C0B7E">
        <w:rPr>
          <w:rFonts w:ascii="Garamond" w:hAnsi="Garamond"/>
          <w:sz w:val="22"/>
          <w:szCs w:val="22"/>
        </w:rPr>
        <w:t>.</w:t>
      </w:r>
      <w:proofErr w:type="gramEnd"/>
      <w:r w:rsidRPr="001C0B7E">
        <w:rPr>
          <w:rFonts w:ascii="Garamond" w:hAnsi="Garamond"/>
          <w:sz w:val="22"/>
          <w:szCs w:val="22"/>
        </w:rPr>
        <w:t xml:space="preserve"> Canberra: </w:t>
      </w:r>
      <w:proofErr w:type="gramStart"/>
      <w:r w:rsidRPr="001C0B7E">
        <w:rPr>
          <w:rFonts w:ascii="Garamond" w:hAnsi="Garamond"/>
          <w:sz w:val="22"/>
          <w:szCs w:val="22"/>
        </w:rPr>
        <w:t>Attorney-General</w:t>
      </w:r>
      <w:proofErr w:type="gramEnd"/>
      <w:r w:rsidRPr="001C0B7E">
        <w:rPr>
          <w:rFonts w:ascii="Garamond" w:hAnsi="Garamond"/>
          <w:sz w:val="22"/>
          <w:szCs w:val="22"/>
        </w:rPr>
        <w:t>’s Department.</w:t>
      </w:r>
    </w:p>
    <w:p w14:paraId="7EE0C660" w14:textId="77777777" w:rsidR="001C0B7E" w:rsidRPr="001C0B7E" w:rsidRDefault="001C0B7E" w:rsidP="001C0B7E">
      <w:pPr>
        <w:ind w:left="720" w:hanging="720"/>
        <w:rPr>
          <w:rFonts w:ascii="Garamond" w:hAnsi="Garamond"/>
          <w:sz w:val="22"/>
          <w:szCs w:val="22"/>
        </w:rPr>
      </w:pPr>
      <w:r w:rsidRPr="001C0B7E">
        <w:rPr>
          <w:rFonts w:ascii="Garamond" w:hAnsi="Garamond"/>
          <w:sz w:val="22"/>
          <w:szCs w:val="22"/>
        </w:rPr>
        <w:t xml:space="preserve">Swain, S. (2012) </w:t>
      </w:r>
      <w:r w:rsidRPr="001C0B7E">
        <w:rPr>
          <w:rFonts w:ascii="Garamond" w:hAnsi="Garamond"/>
          <w:i/>
          <w:iCs/>
          <w:sz w:val="22"/>
          <w:szCs w:val="22"/>
        </w:rPr>
        <w:t xml:space="preserve">Born in hope. </w:t>
      </w:r>
      <w:proofErr w:type="gramStart"/>
      <w:r w:rsidRPr="001C0B7E">
        <w:rPr>
          <w:rFonts w:ascii="Garamond" w:hAnsi="Garamond"/>
          <w:i/>
          <w:iCs/>
          <w:sz w:val="22"/>
          <w:szCs w:val="22"/>
        </w:rPr>
        <w:t>The early years of the Family Court of Australia.</w:t>
      </w:r>
      <w:proofErr w:type="gramEnd"/>
      <w:r w:rsidRPr="001C0B7E">
        <w:rPr>
          <w:rFonts w:ascii="Garamond" w:hAnsi="Garamond"/>
          <w:sz w:val="22"/>
          <w:szCs w:val="22"/>
        </w:rPr>
        <w:t xml:space="preserve"> Sydney: </w:t>
      </w:r>
      <w:proofErr w:type="spellStart"/>
      <w:r w:rsidRPr="001C0B7E">
        <w:rPr>
          <w:rFonts w:ascii="Garamond" w:hAnsi="Garamond"/>
          <w:sz w:val="22"/>
          <w:szCs w:val="22"/>
        </w:rPr>
        <w:t>NewSouth</w:t>
      </w:r>
      <w:proofErr w:type="spellEnd"/>
      <w:r w:rsidRPr="001C0B7E">
        <w:rPr>
          <w:rFonts w:ascii="Garamond" w:hAnsi="Garamond"/>
          <w:sz w:val="22"/>
          <w:szCs w:val="22"/>
        </w:rPr>
        <w:t xml:space="preserve"> Publishing</w:t>
      </w:r>
    </w:p>
    <w:p w14:paraId="5352F5C3" w14:textId="77777777" w:rsidR="001C0B7E" w:rsidRPr="001C0B7E" w:rsidRDefault="001C0B7E" w:rsidP="001C0B7E">
      <w:pPr>
        <w:rPr>
          <w:b/>
        </w:rPr>
      </w:pPr>
    </w:p>
    <w:p w14:paraId="09DAF59C" w14:textId="77777777" w:rsidR="001C0B7E" w:rsidRPr="001C0B7E" w:rsidRDefault="001C0B7E" w:rsidP="00F21D41">
      <w:pPr>
        <w:rPr>
          <w:b/>
        </w:rPr>
      </w:pPr>
    </w:p>
    <w:sectPr w:rsidR="001C0B7E" w:rsidRPr="001C0B7E" w:rsidSect="00F21D4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FF4F" w14:textId="77777777" w:rsidR="005605B8" w:rsidRDefault="005605B8" w:rsidP="00B113E0">
      <w:r>
        <w:separator/>
      </w:r>
    </w:p>
  </w:endnote>
  <w:endnote w:type="continuationSeparator" w:id="0">
    <w:p w14:paraId="1EA0D9C1" w14:textId="77777777" w:rsidR="005605B8" w:rsidRDefault="005605B8" w:rsidP="00B1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Light">
    <w:altName w:val="Garamond"/>
    <w:panose1 w:val="00000000000000000000"/>
    <w:charset w:val="4D"/>
    <w:family w:val="roman"/>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Narrow">
    <w:altName w:val="Arial Narrow"/>
    <w:panose1 w:val="020B0506020202030204"/>
    <w:charset w:val="00"/>
    <w:family w:val="auto"/>
    <w:pitch w:val="variable"/>
    <w:sig w:usb0="00000287" w:usb1="000008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F0332" w14:textId="77777777" w:rsidR="005605B8" w:rsidRDefault="005605B8" w:rsidP="00B113E0">
      <w:r>
        <w:separator/>
      </w:r>
    </w:p>
  </w:footnote>
  <w:footnote w:type="continuationSeparator" w:id="0">
    <w:p w14:paraId="014A492F" w14:textId="77777777" w:rsidR="005605B8" w:rsidRDefault="005605B8" w:rsidP="00B113E0">
      <w:r>
        <w:continuationSeparator/>
      </w:r>
    </w:p>
  </w:footnote>
  <w:footnote w:id="1">
    <w:p w14:paraId="368D8B8C" w14:textId="2825EF08" w:rsidR="005605B8" w:rsidRPr="004F5D04" w:rsidRDefault="005605B8">
      <w:pPr>
        <w:pStyle w:val="FootnoteText"/>
        <w:rPr>
          <w:rFonts w:ascii="Garamond" w:hAnsi="Garamond"/>
          <w:sz w:val="18"/>
          <w:szCs w:val="18"/>
          <w:lang w:val="en-US"/>
        </w:rPr>
      </w:pPr>
      <w:r w:rsidRPr="004F5D04">
        <w:rPr>
          <w:rStyle w:val="FootnoteReference"/>
          <w:rFonts w:ascii="Garamond" w:hAnsi="Garamond"/>
          <w:sz w:val="18"/>
          <w:szCs w:val="18"/>
        </w:rPr>
        <w:footnoteRef/>
      </w:r>
      <w:r w:rsidRPr="004F5D04">
        <w:rPr>
          <w:rFonts w:ascii="Garamond" w:hAnsi="Garamond"/>
          <w:sz w:val="18"/>
          <w:szCs w:val="18"/>
        </w:rPr>
        <w:t xml:space="preserve"> </w:t>
      </w:r>
      <w:r w:rsidRPr="004F5D04">
        <w:rPr>
          <w:rFonts w:ascii="Garamond" w:hAnsi="Garamond"/>
          <w:sz w:val="18"/>
          <w:szCs w:val="18"/>
          <w:lang w:val="en-US"/>
        </w:rPr>
        <w:t>See Swain (2012) p.12</w:t>
      </w:r>
    </w:p>
  </w:footnote>
  <w:footnote w:id="2">
    <w:p w14:paraId="690F41C7" w14:textId="77777777" w:rsidR="005605B8" w:rsidRPr="00B113E0" w:rsidRDefault="005605B8" w:rsidP="00B113E0">
      <w:pPr>
        <w:pStyle w:val="FootnoteText"/>
        <w:rPr>
          <w:rFonts w:ascii="Garamond" w:hAnsi="Garamond"/>
          <w:sz w:val="18"/>
          <w:szCs w:val="18"/>
        </w:rPr>
      </w:pPr>
      <w:r w:rsidRPr="00B113E0">
        <w:rPr>
          <w:rStyle w:val="FootnoteReference"/>
          <w:rFonts w:ascii="Garamond" w:hAnsi="Garamond"/>
          <w:sz w:val="18"/>
          <w:szCs w:val="18"/>
        </w:rPr>
        <w:footnoteRef/>
      </w:r>
      <w:r w:rsidRPr="00B113E0">
        <w:rPr>
          <w:rFonts w:ascii="Garamond" w:hAnsi="Garamond"/>
          <w:sz w:val="18"/>
          <w:szCs w:val="18"/>
        </w:rPr>
        <w:t xml:space="preserve"> </w:t>
      </w:r>
      <w:r w:rsidRPr="00B113E0">
        <w:rPr>
          <w:rFonts w:ascii="Garamond" w:hAnsi="Garamond"/>
          <w:color w:val="231F20"/>
          <w:sz w:val="18"/>
          <w:szCs w:val="18"/>
          <w:lang w:val="en-US"/>
        </w:rPr>
        <w:t>Family Law Amendment (Shared Parental Responsibility) Bill 2005, Explanatory Memorandum, p. 1.</w:t>
      </w:r>
    </w:p>
  </w:footnote>
  <w:footnote w:id="3">
    <w:p w14:paraId="2E4B40BB" w14:textId="77777777" w:rsidR="005605B8" w:rsidRPr="00B113E0" w:rsidRDefault="005605B8" w:rsidP="004356D7">
      <w:pPr>
        <w:pStyle w:val="FootnoteText"/>
        <w:rPr>
          <w:rFonts w:ascii="Garamond" w:hAnsi="Garamond"/>
          <w:sz w:val="18"/>
          <w:szCs w:val="18"/>
        </w:rPr>
      </w:pPr>
      <w:r w:rsidRPr="00B113E0">
        <w:rPr>
          <w:rStyle w:val="FootnoteReference"/>
          <w:rFonts w:ascii="Garamond" w:hAnsi="Garamond"/>
          <w:sz w:val="18"/>
          <w:szCs w:val="18"/>
        </w:rPr>
        <w:footnoteRef/>
      </w:r>
      <w:r w:rsidRPr="00B113E0">
        <w:rPr>
          <w:rFonts w:ascii="Garamond" w:hAnsi="Garamond"/>
          <w:sz w:val="18"/>
          <w:szCs w:val="18"/>
        </w:rPr>
        <w:t xml:space="preserve"> In addition to the Family Relationship Centres, these services included at the time of the reforms: The Family Relationship Advice Line; The Telephone Dispute Resolution Service; the Online Family Dispute Resolution Service; Family Relationships Online; Urban and Regional Family Dispute Resolution Services; Children’s Contact Services; Parenting Orders Programs; Family Relationship Counselling services; </w:t>
      </w:r>
      <w:proofErr w:type="spellStart"/>
      <w:r w:rsidRPr="00B113E0">
        <w:rPr>
          <w:rFonts w:ascii="Garamond" w:hAnsi="Garamond"/>
          <w:sz w:val="18"/>
          <w:szCs w:val="18"/>
        </w:rPr>
        <w:t>Mensline</w:t>
      </w:r>
      <w:proofErr w:type="spellEnd"/>
      <w:r w:rsidRPr="00B113E0">
        <w:rPr>
          <w:rFonts w:ascii="Garamond" w:hAnsi="Garamond"/>
          <w:sz w:val="18"/>
          <w:szCs w:val="18"/>
        </w:rPr>
        <w:t xml:space="preserve"> Australia; Men and Family Relationships Services; Specialised Family Violence Services; Family Relationship Education and Skills Training.  </w:t>
      </w:r>
      <w:r w:rsidRPr="00B113E0">
        <w:rPr>
          <w:rFonts w:ascii="Garamond" w:hAnsi="Garamond"/>
          <w:sz w:val="18"/>
          <w:szCs w:val="18"/>
          <w:lang w:val="en-US"/>
        </w:rPr>
        <w:t xml:space="preserve">See </w:t>
      </w:r>
      <w:proofErr w:type="spellStart"/>
      <w:r w:rsidRPr="00B113E0">
        <w:rPr>
          <w:rFonts w:ascii="Garamond" w:hAnsi="Garamond"/>
          <w:sz w:val="18"/>
          <w:szCs w:val="18"/>
          <w:lang w:val="en-US"/>
        </w:rPr>
        <w:t>Kaspiew</w:t>
      </w:r>
      <w:proofErr w:type="spellEnd"/>
      <w:r w:rsidRPr="00B113E0">
        <w:rPr>
          <w:rFonts w:ascii="Garamond" w:hAnsi="Garamond"/>
          <w:sz w:val="18"/>
          <w:szCs w:val="18"/>
          <w:lang w:val="en-US"/>
        </w:rPr>
        <w:t xml:space="preserve"> et al (2009 </w:t>
      </w:r>
      <w:proofErr w:type="spellStart"/>
      <w:r w:rsidRPr="00B113E0">
        <w:rPr>
          <w:rFonts w:ascii="Garamond" w:hAnsi="Garamond"/>
          <w:sz w:val="18"/>
          <w:szCs w:val="18"/>
          <w:lang w:val="en-US"/>
        </w:rPr>
        <w:t>pp</w:t>
      </w:r>
      <w:proofErr w:type="spellEnd"/>
      <w:r w:rsidRPr="00B113E0">
        <w:rPr>
          <w:rFonts w:ascii="Garamond" w:hAnsi="Garamond"/>
          <w:sz w:val="18"/>
          <w:szCs w:val="18"/>
          <w:lang w:val="en-US"/>
        </w:rPr>
        <w:t xml:space="preserve"> 4-5) for a description of each service.</w:t>
      </w:r>
    </w:p>
  </w:footnote>
  <w:footnote w:id="4">
    <w:p w14:paraId="12196099" w14:textId="77777777" w:rsidR="005605B8" w:rsidRDefault="005605B8" w:rsidP="00B113E0">
      <w:pPr>
        <w:pStyle w:val="FootnoteText"/>
      </w:pPr>
      <w:r w:rsidRPr="00B113E0">
        <w:rPr>
          <w:rStyle w:val="FootnoteReference"/>
          <w:rFonts w:ascii="Garamond" w:hAnsi="Garamond"/>
          <w:sz w:val="18"/>
          <w:szCs w:val="18"/>
        </w:rPr>
        <w:footnoteRef/>
      </w:r>
      <w:r w:rsidRPr="00B113E0">
        <w:rPr>
          <w:rFonts w:ascii="Garamond" w:hAnsi="Garamond"/>
          <w:sz w:val="18"/>
          <w:szCs w:val="18"/>
        </w:rPr>
        <w:t xml:space="preserve"> </w:t>
      </w:r>
      <w:r w:rsidRPr="00B113E0">
        <w:rPr>
          <w:rFonts w:ascii="Garamond" w:eastAsia="Times New Roman" w:hAnsi="Garamond" w:cs="Palatino Linotype"/>
          <w:sz w:val="18"/>
          <w:szCs w:val="18"/>
        </w:rPr>
        <w:t>In</w:t>
      </w:r>
      <w:r w:rsidRPr="00B113E0">
        <w:rPr>
          <w:rFonts w:ascii="Garamond" w:eastAsia="Times New Roman" w:hAnsi="Garamond" w:cs="Palatino Linotype"/>
          <w:spacing w:val="2"/>
          <w:sz w:val="18"/>
          <w:szCs w:val="18"/>
        </w:rPr>
        <w:t xml:space="preserve"> </w:t>
      </w:r>
      <w:r w:rsidRPr="00B113E0">
        <w:rPr>
          <w:rFonts w:ascii="Garamond" w:eastAsia="Times New Roman" w:hAnsi="Garamond" w:cs="Palatino Linotype"/>
          <w:sz w:val="18"/>
          <w:szCs w:val="18"/>
        </w:rPr>
        <w:t xml:space="preserve">the </w:t>
      </w:r>
      <w:r w:rsidRPr="00B113E0">
        <w:rPr>
          <w:rFonts w:ascii="Garamond" w:eastAsia="Times New Roman" w:hAnsi="Garamond" w:cs="Palatino Linotype"/>
          <w:spacing w:val="1"/>
          <w:sz w:val="18"/>
          <w:szCs w:val="18"/>
        </w:rPr>
        <w:t>2</w:t>
      </w:r>
      <w:r w:rsidRPr="00B113E0">
        <w:rPr>
          <w:rFonts w:ascii="Garamond" w:eastAsia="Times New Roman" w:hAnsi="Garamond" w:cs="Palatino Linotype"/>
          <w:spacing w:val="-1"/>
          <w:sz w:val="18"/>
          <w:szCs w:val="18"/>
        </w:rPr>
        <w:t>0</w:t>
      </w:r>
      <w:r w:rsidRPr="00B113E0">
        <w:rPr>
          <w:rFonts w:ascii="Garamond" w:eastAsia="Times New Roman" w:hAnsi="Garamond" w:cs="Palatino Linotype"/>
          <w:spacing w:val="1"/>
          <w:sz w:val="18"/>
          <w:szCs w:val="18"/>
        </w:rPr>
        <w:t>05</w:t>
      </w:r>
      <w:r w:rsidRPr="00B113E0">
        <w:rPr>
          <w:rFonts w:ascii="Garamond" w:eastAsia="Times New Roman" w:hAnsi="Garamond" w:cs="Palatino Linotype"/>
          <w:spacing w:val="-1"/>
          <w:sz w:val="18"/>
          <w:szCs w:val="18"/>
        </w:rPr>
        <w:t>–</w:t>
      </w:r>
      <w:r w:rsidRPr="00B113E0">
        <w:rPr>
          <w:rFonts w:ascii="Garamond" w:eastAsia="Times New Roman" w:hAnsi="Garamond" w:cs="Palatino Linotype"/>
          <w:spacing w:val="1"/>
          <w:sz w:val="18"/>
          <w:szCs w:val="18"/>
        </w:rPr>
        <w:t>0</w:t>
      </w:r>
      <w:r w:rsidRPr="00B113E0">
        <w:rPr>
          <w:rFonts w:ascii="Garamond" w:eastAsia="Times New Roman" w:hAnsi="Garamond" w:cs="Palatino Linotype"/>
          <w:sz w:val="18"/>
          <w:szCs w:val="18"/>
        </w:rPr>
        <w:t>6</w:t>
      </w:r>
      <w:r w:rsidRPr="00B113E0">
        <w:rPr>
          <w:rFonts w:ascii="Garamond" w:eastAsia="Times New Roman" w:hAnsi="Garamond" w:cs="Palatino Linotype"/>
          <w:spacing w:val="-5"/>
          <w:sz w:val="18"/>
          <w:szCs w:val="18"/>
        </w:rPr>
        <w:t xml:space="preserve"> </w:t>
      </w:r>
      <w:r w:rsidRPr="00B113E0">
        <w:rPr>
          <w:rFonts w:ascii="Garamond" w:eastAsia="Times New Roman" w:hAnsi="Garamond" w:cs="Palatino Linotype"/>
          <w:sz w:val="18"/>
          <w:szCs w:val="18"/>
        </w:rPr>
        <w:t>Budget,</w:t>
      </w:r>
      <w:r w:rsidRPr="00B113E0">
        <w:rPr>
          <w:rFonts w:ascii="Garamond" w:eastAsia="Times New Roman" w:hAnsi="Garamond" w:cs="Palatino Linotype"/>
          <w:spacing w:val="-5"/>
          <w:sz w:val="18"/>
          <w:szCs w:val="18"/>
        </w:rPr>
        <w:t xml:space="preserve"> A</w:t>
      </w:r>
      <w:r w:rsidRPr="00B113E0">
        <w:rPr>
          <w:rFonts w:ascii="Garamond" w:eastAsia="Times New Roman" w:hAnsi="Garamond" w:cs="Palatino Linotype"/>
          <w:spacing w:val="1"/>
          <w:sz w:val="18"/>
          <w:szCs w:val="18"/>
        </w:rPr>
        <w:t>$3</w:t>
      </w:r>
      <w:r w:rsidRPr="00B113E0">
        <w:rPr>
          <w:rFonts w:ascii="Garamond" w:eastAsia="Times New Roman" w:hAnsi="Garamond" w:cs="Palatino Linotype"/>
          <w:spacing w:val="-1"/>
          <w:sz w:val="18"/>
          <w:szCs w:val="18"/>
        </w:rPr>
        <w:t>9</w:t>
      </w:r>
      <w:r w:rsidRPr="00B113E0">
        <w:rPr>
          <w:rFonts w:ascii="Garamond" w:eastAsia="Times New Roman" w:hAnsi="Garamond" w:cs="Palatino Linotype"/>
          <w:sz w:val="18"/>
          <w:szCs w:val="18"/>
        </w:rPr>
        <w:t>7</w:t>
      </w:r>
      <w:r w:rsidRPr="00B113E0">
        <w:rPr>
          <w:rFonts w:ascii="Garamond" w:eastAsia="Times New Roman" w:hAnsi="Garamond" w:cs="Palatino Linotype"/>
          <w:spacing w:val="-1"/>
          <w:sz w:val="18"/>
          <w:szCs w:val="18"/>
        </w:rPr>
        <w:t xml:space="preserve"> </w:t>
      </w:r>
      <w:r w:rsidRPr="00B113E0">
        <w:rPr>
          <w:rFonts w:ascii="Garamond" w:eastAsia="Times New Roman" w:hAnsi="Garamond" w:cs="Palatino Linotype"/>
          <w:sz w:val="18"/>
          <w:szCs w:val="18"/>
        </w:rPr>
        <w:t>million</w:t>
      </w:r>
      <w:r w:rsidRPr="00B113E0">
        <w:rPr>
          <w:rFonts w:ascii="Garamond" w:eastAsia="Times New Roman" w:hAnsi="Garamond" w:cs="Palatino Linotype"/>
          <w:spacing w:val="-2"/>
          <w:sz w:val="18"/>
          <w:szCs w:val="18"/>
        </w:rPr>
        <w:t xml:space="preserve"> </w:t>
      </w:r>
      <w:r w:rsidRPr="00B113E0">
        <w:rPr>
          <w:rFonts w:ascii="Garamond" w:eastAsia="Times New Roman" w:hAnsi="Garamond" w:cs="Palatino Linotype"/>
          <w:sz w:val="18"/>
          <w:szCs w:val="18"/>
        </w:rPr>
        <w:t>was provided</w:t>
      </w:r>
      <w:r w:rsidRPr="00B113E0">
        <w:rPr>
          <w:rFonts w:ascii="Garamond" w:eastAsia="Times New Roman" w:hAnsi="Garamond" w:cs="Palatino Linotype"/>
          <w:spacing w:val="-6"/>
          <w:sz w:val="18"/>
          <w:szCs w:val="18"/>
        </w:rPr>
        <w:t xml:space="preserve"> </w:t>
      </w:r>
      <w:r w:rsidRPr="00B113E0">
        <w:rPr>
          <w:rFonts w:ascii="Garamond" w:eastAsia="Times New Roman" w:hAnsi="Garamond" w:cs="Palatino Linotype"/>
          <w:spacing w:val="1"/>
          <w:sz w:val="18"/>
          <w:szCs w:val="18"/>
        </w:rPr>
        <w:t>o</w:t>
      </w:r>
      <w:r w:rsidRPr="00B113E0">
        <w:rPr>
          <w:rFonts w:ascii="Garamond" w:eastAsia="Times New Roman" w:hAnsi="Garamond" w:cs="Palatino Linotype"/>
          <w:sz w:val="18"/>
          <w:szCs w:val="18"/>
        </w:rPr>
        <w:t>v</w:t>
      </w:r>
      <w:r w:rsidRPr="00B113E0">
        <w:rPr>
          <w:rFonts w:ascii="Garamond" w:eastAsia="Times New Roman" w:hAnsi="Garamond" w:cs="Palatino Linotype"/>
          <w:spacing w:val="1"/>
          <w:sz w:val="18"/>
          <w:szCs w:val="18"/>
        </w:rPr>
        <w:t>e</w:t>
      </w:r>
      <w:r w:rsidRPr="00B113E0">
        <w:rPr>
          <w:rFonts w:ascii="Garamond" w:eastAsia="Times New Roman" w:hAnsi="Garamond" w:cs="Palatino Linotype"/>
          <w:sz w:val="18"/>
          <w:szCs w:val="18"/>
        </w:rPr>
        <w:t>r four</w:t>
      </w:r>
      <w:r w:rsidRPr="00B113E0">
        <w:rPr>
          <w:rFonts w:ascii="Garamond" w:eastAsia="Times New Roman" w:hAnsi="Garamond" w:cs="Palatino Linotype"/>
          <w:spacing w:val="-3"/>
          <w:sz w:val="18"/>
          <w:szCs w:val="18"/>
        </w:rPr>
        <w:t xml:space="preserve"> </w:t>
      </w:r>
      <w:r w:rsidRPr="00B113E0">
        <w:rPr>
          <w:rFonts w:ascii="Garamond" w:eastAsia="Times New Roman" w:hAnsi="Garamond" w:cs="Palatino Linotype"/>
          <w:sz w:val="18"/>
          <w:szCs w:val="18"/>
        </w:rPr>
        <w:t>years</w:t>
      </w:r>
      <w:r w:rsidRPr="00B113E0">
        <w:rPr>
          <w:rFonts w:ascii="Garamond" w:eastAsia="Times New Roman" w:hAnsi="Garamond" w:cs="Palatino Linotype"/>
          <w:spacing w:val="-3"/>
          <w:sz w:val="18"/>
          <w:szCs w:val="18"/>
        </w:rPr>
        <w:t xml:space="preserve"> </w:t>
      </w:r>
      <w:r w:rsidRPr="00B113E0">
        <w:rPr>
          <w:rFonts w:ascii="Garamond" w:eastAsia="Times New Roman" w:hAnsi="Garamond" w:cs="Palatino Linotype"/>
          <w:spacing w:val="1"/>
          <w:sz w:val="18"/>
          <w:szCs w:val="18"/>
        </w:rPr>
        <w:t>f</w:t>
      </w:r>
      <w:r w:rsidRPr="00B113E0">
        <w:rPr>
          <w:rFonts w:ascii="Garamond" w:eastAsia="Times New Roman" w:hAnsi="Garamond" w:cs="Palatino Linotype"/>
          <w:sz w:val="18"/>
          <w:szCs w:val="18"/>
        </w:rPr>
        <w:t>or</w:t>
      </w:r>
      <w:r w:rsidRPr="00B113E0">
        <w:rPr>
          <w:rFonts w:ascii="Garamond" w:eastAsia="Times New Roman" w:hAnsi="Garamond" w:cs="Palatino Linotype"/>
          <w:spacing w:val="-3"/>
          <w:sz w:val="18"/>
          <w:szCs w:val="18"/>
        </w:rPr>
        <w:t xml:space="preserve"> </w:t>
      </w:r>
      <w:r w:rsidRPr="00B113E0">
        <w:rPr>
          <w:rFonts w:ascii="Garamond" w:eastAsia="Times New Roman" w:hAnsi="Garamond" w:cs="Palatino Linotype"/>
          <w:sz w:val="18"/>
          <w:szCs w:val="18"/>
        </w:rPr>
        <w:t>the</w:t>
      </w:r>
      <w:r w:rsidRPr="00B113E0">
        <w:rPr>
          <w:rFonts w:ascii="Garamond" w:eastAsia="Times New Roman" w:hAnsi="Garamond" w:cs="Palatino Linotype"/>
          <w:spacing w:val="-2"/>
          <w:sz w:val="18"/>
          <w:szCs w:val="18"/>
        </w:rPr>
        <w:t xml:space="preserve"> </w:t>
      </w:r>
      <w:r w:rsidRPr="00B113E0">
        <w:rPr>
          <w:rFonts w:ascii="Garamond" w:eastAsia="Times New Roman" w:hAnsi="Garamond" w:cs="Palatino Linotype"/>
          <w:sz w:val="18"/>
          <w:szCs w:val="18"/>
        </w:rPr>
        <w:t>impl</w:t>
      </w:r>
      <w:r w:rsidRPr="00B113E0">
        <w:rPr>
          <w:rFonts w:ascii="Garamond" w:eastAsia="Times New Roman" w:hAnsi="Garamond" w:cs="Palatino Linotype"/>
          <w:spacing w:val="2"/>
          <w:sz w:val="18"/>
          <w:szCs w:val="18"/>
        </w:rPr>
        <w:t>e</w:t>
      </w:r>
      <w:r w:rsidRPr="00B113E0">
        <w:rPr>
          <w:rFonts w:ascii="Garamond" w:eastAsia="Times New Roman" w:hAnsi="Garamond" w:cs="Palatino Linotype"/>
          <w:sz w:val="18"/>
          <w:szCs w:val="18"/>
        </w:rPr>
        <w:t>mentation</w:t>
      </w:r>
      <w:r w:rsidRPr="00B113E0">
        <w:rPr>
          <w:rFonts w:ascii="Garamond" w:eastAsia="Times New Roman" w:hAnsi="Garamond" w:cs="Palatino Linotype"/>
          <w:spacing w:val="-13"/>
          <w:sz w:val="18"/>
          <w:szCs w:val="18"/>
        </w:rPr>
        <w:t xml:space="preserve"> </w:t>
      </w:r>
      <w:r w:rsidRPr="00B113E0">
        <w:rPr>
          <w:rFonts w:ascii="Garamond" w:eastAsia="Times New Roman" w:hAnsi="Garamond" w:cs="Palatino Linotype"/>
          <w:spacing w:val="-1"/>
          <w:sz w:val="18"/>
          <w:szCs w:val="18"/>
        </w:rPr>
        <w:t>o</w:t>
      </w:r>
      <w:r w:rsidRPr="00B113E0">
        <w:rPr>
          <w:rFonts w:ascii="Garamond" w:eastAsia="Times New Roman" w:hAnsi="Garamond" w:cs="Palatino Linotype"/>
          <w:sz w:val="18"/>
          <w:szCs w:val="18"/>
        </w:rPr>
        <w:t>f</w:t>
      </w:r>
      <w:r w:rsidRPr="00B113E0">
        <w:rPr>
          <w:rFonts w:ascii="Garamond" w:eastAsia="Times New Roman" w:hAnsi="Garamond" w:cs="Palatino Linotype"/>
          <w:spacing w:val="-1"/>
          <w:sz w:val="18"/>
          <w:szCs w:val="18"/>
        </w:rPr>
        <w:t xml:space="preserve"> </w:t>
      </w:r>
      <w:r w:rsidRPr="00B113E0">
        <w:rPr>
          <w:rFonts w:ascii="Garamond" w:eastAsia="Times New Roman" w:hAnsi="Garamond" w:cs="Palatino Linotype"/>
          <w:sz w:val="18"/>
          <w:szCs w:val="18"/>
        </w:rPr>
        <w:t>the</w:t>
      </w:r>
      <w:r w:rsidRPr="00B113E0">
        <w:rPr>
          <w:rFonts w:ascii="Garamond" w:eastAsia="Times New Roman" w:hAnsi="Garamond" w:cs="Palatino Linotype"/>
          <w:spacing w:val="-2"/>
          <w:sz w:val="18"/>
          <w:szCs w:val="18"/>
        </w:rPr>
        <w:t xml:space="preserve"> </w:t>
      </w:r>
      <w:r w:rsidRPr="00B113E0">
        <w:rPr>
          <w:rFonts w:ascii="Garamond" w:eastAsia="Times New Roman" w:hAnsi="Garamond" w:cs="Palatino Linotype"/>
          <w:sz w:val="18"/>
          <w:szCs w:val="18"/>
        </w:rPr>
        <w:t>new</w:t>
      </w:r>
      <w:r w:rsidRPr="00B113E0">
        <w:rPr>
          <w:rFonts w:ascii="Garamond" w:eastAsia="Times New Roman" w:hAnsi="Garamond" w:cs="Palatino Linotype"/>
          <w:spacing w:val="-3"/>
          <w:sz w:val="18"/>
          <w:szCs w:val="18"/>
        </w:rPr>
        <w:t xml:space="preserve"> </w:t>
      </w:r>
      <w:r w:rsidRPr="00B113E0">
        <w:rPr>
          <w:rFonts w:ascii="Garamond" w:eastAsia="Times New Roman" w:hAnsi="Garamond" w:cs="Palatino Linotype"/>
          <w:sz w:val="18"/>
          <w:szCs w:val="18"/>
        </w:rPr>
        <w:t>family</w:t>
      </w:r>
      <w:r w:rsidRPr="00B113E0">
        <w:rPr>
          <w:rFonts w:ascii="Garamond" w:eastAsia="Times New Roman" w:hAnsi="Garamond" w:cs="Palatino Linotype"/>
          <w:spacing w:val="-5"/>
          <w:sz w:val="18"/>
          <w:szCs w:val="18"/>
        </w:rPr>
        <w:t xml:space="preserve"> </w:t>
      </w:r>
      <w:r w:rsidRPr="00B113E0">
        <w:rPr>
          <w:rFonts w:ascii="Garamond" w:eastAsia="Times New Roman" w:hAnsi="Garamond" w:cs="Palatino Linotype"/>
          <w:sz w:val="18"/>
          <w:szCs w:val="18"/>
        </w:rPr>
        <w:t>law</w:t>
      </w:r>
      <w:r w:rsidRPr="00B113E0">
        <w:rPr>
          <w:rFonts w:ascii="Garamond" w:eastAsia="Times New Roman" w:hAnsi="Garamond" w:cs="Palatino Linotype"/>
          <w:spacing w:val="-4"/>
          <w:sz w:val="18"/>
          <w:szCs w:val="18"/>
        </w:rPr>
        <w:t xml:space="preserve"> </w:t>
      </w:r>
      <w:r w:rsidRPr="00B113E0">
        <w:rPr>
          <w:rFonts w:ascii="Garamond" w:eastAsia="Times New Roman" w:hAnsi="Garamond" w:cs="Palatino Linotype"/>
          <w:sz w:val="18"/>
          <w:szCs w:val="18"/>
        </w:rPr>
        <w:t xml:space="preserve">system. Of this A$199 was allocated to the establishment and support of the 65 FRCs. (Australian Government 2005-06 </w:t>
      </w:r>
      <w:proofErr w:type="spellStart"/>
      <w:r w:rsidRPr="00B113E0">
        <w:rPr>
          <w:rFonts w:ascii="Garamond" w:eastAsia="Times New Roman" w:hAnsi="Garamond" w:cs="Palatino Linotype"/>
          <w:sz w:val="18"/>
          <w:szCs w:val="18"/>
        </w:rPr>
        <w:t>pp</w:t>
      </w:r>
      <w:proofErr w:type="spellEnd"/>
      <w:r w:rsidRPr="00B113E0">
        <w:rPr>
          <w:rFonts w:ascii="Garamond" w:eastAsia="Times New Roman" w:hAnsi="Garamond" w:cs="Palatino Linotype"/>
          <w:sz w:val="18"/>
          <w:szCs w:val="18"/>
        </w:rPr>
        <w:t xml:space="preserve"> 294-298)</w:t>
      </w:r>
    </w:p>
  </w:footnote>
  <w:footnote w:id="5">
    <w:p w14:paraId="411ABD3A" w14:textId="328BF354" w:rsidR="005605B8" w:rsidRPr="00900205" w:rsidRDefault="005605B8">
      <w:pPr>
        <w:pStyle w:val="FootnoteText"/>
        <w:rPr>
          <w:rFonts w:ascii="Times" w:hAnsi="Times"/>
          <w:sz w:val="16"/>
          <w:szCs w:val="16"/>
          <w:lang w:val="en-US"/>
        </w:rPr>
      </w:pPr>
      <w:r w:rsidRPr="00900205">
        <w:rPr>
          <w:rStyle w:val="FootnoteReference"/>
          <w:rFonts w:ascii="Times" w:hAnsi="Times"/>
          <w:sz w:val="16"/>
          <w:szCs w:val="16"/>
        </w:rPr>
        <w:footnoteRef/>
      </w:r>
      <w:r w:rsidRPr="00900205">
        <w:rPr>
          <w:rFonts w:ascii="Times" w:hAnsi="Times"/>
          <w:sz w:val="16"/>
          <w:szCs w:val="16"/>
        </w:rPr>
        <w:t xml:space="preserve"> </w:t>
      </w:r>
      <w:r w:rsidRPr="00900205">
        <w:rPr>
          <w:rFonts w:ascii="Times" w:hAnsi="Times"/>
          <w:sz w:val="16"/>
          <w:szCs w:val="16"/>
          <w:lang w:val="en-US"/>
        </w:rPr>
        <w:t>I am gra</w:t>
      </w:r>
      <w:r>
        <w:rPr>
          <w:rFonts w:ascii="Times" w:hAnsi="Times"/>
          <w:sz w:val="16"/>
          <w:szCs w:val="16"/>
          <w:lang w:val="en-US"/>
        </w:rPr>
        <w:t xml:space="preserve">teful to my colleague </w:t>
      </w:r>
      <w:proofErr w:type="spellStart"/>
      <w:r>
        <w:rPr>
          <w:rFonts w:ascii="Times" w:hAnsi="Times"/>
          <w:sz w:val="16"/>
          <w:szCs w:val="16"/>
          <w:lang w:val="en-US"/>
        </w:rPr>
        <w:t>Dr</w:t>
      </w:r>
      <w:proofErr w:type="spellEnd"/>
      <w:r>
        <w:rPr>
          <w:rFonts w:ascii="Times" w:hAnsi="Times"/>
          <w:sz w:val="16"/>
          <w:szCs w:val="16"/>
          <w:lang w:val="en-US"/>
        </w:rPr>
        <w:t xml:space="preserve"> Rae </w:t>
      </w:r>
      <w:proofErr w:type="spellStart"/>
      <w:r>
        <w:rPr>
          <w:rFonts w:ascii="Times" w:hAnsi="Times"/>
          <w:sz w:val="16"/>
          <w:szCs w:val="16"/>
          <w:lang w:val="en-US"/>
        </w:rPr>
        <w:t>Kas</w:t>
      </w:r>
      <w:r w:rsidRPr="00900205">
        <w:rPr>
          <w:rFonts w:ascii="Times" w:hAnsi="Times"/>
          <w:sz w:val="16"/>
          <w:szCs w:val="16"/>
          <w:lang w:val="en-US"/>
        </w:rPr>
        <w:t>piew</w:t>
      </w:r>
      <w:proofErr w:type="spellEnd"/>
      <w:r w:rsidRPr="00900205">
        <w:rPr>
          <w:rFonts w:ascii="Times" w:hAnsi="Times"/>
          <w:sz w:val="16"/>
          <w:szCs w:val="16"/>
          <w:lang w:val="en-US"/>
        </w:rPr>
        <w:t xml:space="preserve"> for</w:t>
      </w:r>
      <w:r>
        <w:rPr>
          <w:rFonts w:ascii="Times" w:hAnsi="Times"/>
          <w:sz w:val="16"/>
          <w:szCs w:val="16"/>
          <w:lang w:val="en-US"/>
        </w:rPr>
        <w:t xml:space="preserve"> providing</w:t>
      </w:r>
      <w:r w:rsidRPr="00900205">
        <w:rPr>
          <w:rFonts w:ascii="Times" w:hAnsi="Times"/>
          <w:sz w:val="16"/>
          <w:szCs w:val="16"/>
          <w:lang w:val="en-US"/>
        </w:rPr>
        <w:t xml:space="preserve"> this slide.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AB5"/>
    <w:multiLevelType w:val="hybridMultilevel"/>
    <w:tmpl w:val="73781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FE21D9"/>
    <w:multiLevelType w:val="hybridMultilevel"/>
    <w:tmpl w:val="6310EA16"/>
    <w:lvl w:ilvl="0" w:tplc="F0B013D8">
      <w:start w:val="1"/>
      <w:numFmt w:val="bullet"/>
      <w:lvlText w:val=""/>
      <w:lvlJc w:val="left"/>
      <w:pPr>
        <w:tabs>
          <w:tab w:val="num" w:pos="720"/>
        </w:tabs>
        <w:ind w:left="720" w:hanging="360"/>
      </w:pPr>
      <w:rPr>
        <w:rFonts w:ascii="Wingdings" w:hAnsi="Wingdings" w:hint="default"/>
      </w:rPr>
    </w:lvl>
    <w:lvl w:ilvl="1" w:tplc="ADAE85EC" w:tentative="1">
      <w:start w:val="1"/>
      <w:numFmt w:val="bullet"/>
      <w:lvlText w:val=""/>
      <w:lvlJc w:val="left"/>
      <w:pPr>
        <w:tabs>
          <w:tab w:val="num" w:pos="1440"/>
        </w:tabs>
        <w:ind w:left="1440" w:hanging="360"/>
      </w:pPr>
      <w:rPr>
        <w:rFonts w:ascii="Wingdings" w:hAnsi="Wingdings" w:hint="default"/>
      </w:rPr>
    </w:lvl>
    <w:lvl w:ilvl="2" w:tplc="4B7C55F8" w:tentative="1">
      <w:start w:val="1"/>
      <w:numFmt w:val="bullet"/>
      <w:lvlText w:val=""/>
      <w:lvlJc w:val="left"/>
      <w:pPr>
        <w:tabs>
          <w:tab w:val="num" w:pos="2160"/>
        </w:tabs>
        <w:ind w:left="2160" w:hanging="360"/>
      </w:pPr>
      <w:rPr>
        <w:rFonts w:ascii="Wingdings" w:hAnsi="Wingdings" w:hint="default"/>
      </w:rPr>
    </w:lvl>
    <w:lvl w:ilvl="3" w:tplc="A54860A2" w:tentative="1">
      <w:start w:val="1"/>
      <w:numFmt w:val="bullet"/>
      <w:lvlText w:val=""/>
      <w:lvlJc w:val="left"/>
      <w:pPr>
        <w:tabs>
          <w:tab w:val="num" w:pos="2880"/>
        </w:tabs>
        <w:ind w:left="2880" w:hanging="360"/>
      </w:pPr>
      <w:rPr>
        <w:rFonts w:ascii="Wingdings" w:hAnsi="Wingdings" w:hint="default"/>
      </w:rPr>
    </w:lvl>
    <w:lvl w:ilvl="4" w:tplc="7A36DC5A" w:tentative="1">
      <w:start w:val="1"/>
      <w:numFmt w:val="bullet"/>
      <w:lvlText w:val=""/>
      <w:lvlJc w:val="left"/>
      <w:pPr>
        <w:tabs>
          <w:tab w:val="num" w:pos="3600"/>
        </w:tabs>
        <w:ind w:left="3600" w:hanging="360"/>
      </w:pPr>
      <w:rPr>
        <w:rFonts w:ascii="Wingdings" w:hAnsi="Wingdings" w:hint="default"/>
      </w:rPr>
    </w:lvl>
    <w:lvl w:ilvl="5" w:tplc="F6BC3812" w:tentative="1">
      <w:start w:val="1"/>
      <w:numFmt w:val="bullet"/>
      <w:lvlText w:val=""/>
      <w:lvlJc w:val="left"/>
      <w:pPr>
        <w:tabs>
          <w:tab w:val="num" w:pos="4320"/>
        </w:tabs>
        <w:ind w:left="4320" w:hanging="360"/>
      </w:pPr>
      <w:rPr>
        <w:rFonts w:ascii="Wingdings" w:hAnsi="Wingdings" w:hint="default"/>
      </w:rPr>
    </w:lvl>
    <w:lvl w:ilvl="6" w:tplc="7008529A" w:tentative="1">
      <w:start w:val="1"/>
      <w:numFmt w:val="bullet"/>
      <w:lvlText w:val=""/>
      <w:lvlJc w:val="left"/>
      <w:pPr>
        <w:tabs>
          <w:tab w:val="num" w:pos="5040"/>
        </w:tabs>
        <w:ind w:left="5040" w:hanging="360"/>
      </w:pPr>
      <w:rPr>
        <w:rFonts w:ascii="Wingdings" w:hAnsi="Wingdings" w:hint="default"/>
      </w:rPr>
    </w:lvl>
    <w:lvl w:ilvl="7" w:tplc="5B5C629C" w:tentative="1">
      <w:start w:val="1"/>
      <w:numFmt w:val="bullet"/>
      <w:lvlText w:val=""/>
      <w:lvlJc w:val="left"/>
      <w:pPr>
        <w:tabs>
          <w:tab w:val="num" w:pos="5760"/>
        </w:tabs>
        <w:ind w:left="5760" w:hanging="360"/>
      </w:pPr>
      <w:rPr>
        <w:rFonts w:ascii="Wingdings" w:hAnsi="Wingdings" w:hint="default"/>
      </w:rPr>
    </w:lvl>
    <w:lvl w:ilvl="8" w:tplc="8416ADC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41"/>
    <w:rsid w:val="00005CCB"/>
    <w:rsid w:val="00042F8E"/>
    <w:rsid w:val="000849EB"/>
    <w:rsid w:val="000B1534"/>
    <w:rsid w:val="000C5201"/>
    <w:rsid w:val="000C632B"/>
    <w:rsid w:val="000D2627"/>
    <w:rsid w:val="000E5F3B"/>
    <w:rsid w:val="000E6F45"/>
    <w:rsid w:val="000E753D"/>
    <w:rsid w:val="00106E5E"/>
    <w:rsid w:val="00112C62"/>
    <w:rsid w:val="001201C3"/>
    <w:rsid w:val="00166113"/>
    <w:rsid w:val="00173C12"/>
    <w:rsid w:val="001759F1"/>
    <w:rsid w:val="00191E65"/>
    <w:rsid w:val="001A204C"/>
    <w:rsid w:val="001B5ECC"/>
    <w:rsid w:val="001C0B7E"/>
    <w:rsid w:val="001C6123"/>
    <w:rsid w:val="001E725F"/>
    <w:rsid w:val="00224209"/>
    <w:rsid w:val="002256CE"/>
    <w:rsid w:val="00241372"/>
    <w:rsid w:val="0025245E"/>
    <w:rsid w:val="002635D1"/>
    <w:rsid w:val="00283A2E"/>
    <w:rsid w:val="002A347E"/>
    <w:rsid w:val="002A4F93"/>
    <w:rsid w:val="002B71F9"/>
    <w:rsid w:val="002D43EA"/>
    <w:rsid w:val="002D59C7"/>
    <w:rsid w:val="002F7A55"/>
    <w:rsid w:val="00303A92"/>
    <w:rsid w:val="00305CD6"/>
    <w:rsid w:val="0033023A"/>
    <w:rsid w:val="00337F0D"/>
    <w:rsid w:val="0034552E"/>
    <w:rsid w:val="003520CD"/>
    <w:rsid w:val="0035627C"/>
    <w:rsid w:val="00357A72"/>
    <w:rsid w:val="00364DA1"/>
    <w:rsid w:val="003775DF"/>
    <w:rsid w:val="0038557F"/>
    <w:rsid w:val="003D6C4B"/>
    <w:rsid w:val="003F0F07"/>
    <w:rsid w:val="003F5F59"/>
    <w:rsid w:val="00407A35"/>
    <w:rsid w:val="0042298E"/>
    <w:rsid w:val="004356D7"/>
    <w:rsid w:val="0044253C"/>
    <w:rsid w:val="004567D5"/>
    <w:rsid w:val="004740EC"/>
    <w:rsid w:val="004C7DBD"/>
    <w:rsid w:val="004F2EFC"/>
    <w:rsid w:val="004F5D04"/>
    <w:rsid w:val="00523F6F"/>
    <w:rsid w:val="00532ED9"/>
    <w:rsid w:val="00534FEF"/>
    <w:rsid w:val="00540352"/>
    <w:rsid w:val="0055415D"/>
    <w:rsid w:val="0055539B"/>
    <w:rsid w:val="00555E75"/>
    <w:rsid w:val="005605B8"/>
    <w:rsid w:val="00576957"/>
    <w:rsid w:val="00596E6B"/>
    <w:rsid w:val="005A65CC"/>
    <w:rsid w:val="005E20B9"/>
    <w:rsid w:val="005F02AF"/>
    <w:rsid w:val="005F18CB"/>
    <w:rsid w:val="005F7AA5"/>
    <w:rsid w:val="00604D34"/>
    <w:rsid w:val="00615ADF"/>
    <w:rsid w:val="00617C8A"/>
    <w:rsid w:val="00626E08"/>
    <w:rsid w:val="00631B00"/>
    <w:rsid w:val="00640BB7"/>
    <w:rsid w:val="00641C23"/>
    <w:rsid w:val="00657117"/>
    <w:rsid w:val="006631CC"/>
    <w:rsid w:val="00686E9B"/>
    <w:rsid w:val="00696C28"/>
    <w:rsid w:val="006B2791"/>
    <w:rsid w:val="006B64B0"/>
    <w:rsid w:val="006D293B"/>
    <w:rsid w:val="006F2085"/>
    <w:rsid w:val="006F2BA2"/>
    <w:rsid w:val="006F53A5"/>
    <w:rsid w:val="00701A7C"/>
    <w:rsid w:val="007029CA"/>
    <w:rsid w:val="0070421A"/>
    <w:rsid w:val="00705543"/>
    <w:rsid w:val="007128B2"/>
    <w:rsid w:val="0076343C"/>
    <w:rsid w:val="00780A2A"/>
    <w:rsid w:val="007E0FE7"/>
    <w:rsid w:val="007E2564"/>
    <w:rsid w:val="00807DDA"/>
    <w:rsid w:val="00820679"/>
    <w:rsid w:val="00833CBB"/>
    <w:rsid w:val="00843BFF"/>
    <w:rsid w:val="008444A5"/>
    <w:rsid w:val="008448D7"/>
    <w:rsid w:val="00850032"/>
    <w:rsid w:val="00862CFB"/>
    <w:rsid w:val="00863F9D"/>
    <w:rsid w:val="008640AF"/>
    <w:rsid w:val="008714BA"/>
    <w:rsid w:val="0087422B"/>
    <w:rsid w:val="00875F5D"/>
    <w:rsid w:val="00886332"/>
    <w:rsid w:val="008C6B70"/>
    <w:rsid w:val="008D4015"/>
    <w:rsid w:val="008D5566"/>
    <w:rsid w:val="008F3FF4"/>
    <w:rsid w:val="00900205"/>
    <w:rsid w:val="00905741"/>
    <w:rsid w:val="00915D4F"/>
    <w:rsid w:val="00932C2C"/>
    <w:rsid w:val="00941497"/>
    <w:rsid w:val="00945B0B"/>
    <w:rsid w:val="00950136"/>
    <w:rsid w:val="0095160E"/>
    <w:rsid w:val="0095782E"/>
    <w:rsid w:val="009614AB"/>
    <w:rsid w:val="00981FFD"/>
    <w:rsid w:val="00996BC0"/>
    <w:rsid w:val="009C4F8A"/>
    <w:rsid w:val="009D26BF"/>
    <w:rsid w:val="00A01522"/>
    <w:rsid w:val="00A71420"/>
    <w:rsid w:val="00AA0104"/>
    <w:rsid w:val="00AA511A"/>
    <w:rsid w:val="00AD2FB0"/>
    <w:rsid w:val="00AE3BF3"/>
    <w:rsid w:val="00B113E0"/>
    <w:rsid w:val="00B15F5B"/>
    <w:rsid w:val="00B16AF2"/>
    <w:rsid w:val="00B27863"/>
    <w:rsid w:val="00B73230"/>
    <w:rsid w:val="00B747F3"/>
    <w:rsid w:val="00B7777D"/>
    <w:rsid w:val="00B97A27"/>
    <w:rsid w:val="00BA2865"/>
    <w:rsid w:val="00BA3DC7"/>
    <w:rsid w:val="00BC21DF"/>
    <w:rsid w:val="00BC4449"/>
    <w:rsid w:val="00C04DA3"/>
    <w:rsid w:val="00C102EE"/>
    <w:rsid w:val="00C246A9"/>
    <w:rsid w:val="00C31035"/>
    <w:rsid w:val="00C46D64"/>
    <w:rsid w:val="00C562D1"/>
    <w:rsid w:val="00C74B07"/>
    <w:rsid w:val="00C75DA9"/>
    <w:rsid w:val="00C9686E"/>
    <w:rsid w:val="00CA157F"/>
    <w:rsid w:val="00CB11C4"/>
    <w:rsid w:val="00D130E1"/>
    <w:rsid w:val="00D31FB7"/>
    <w:rsid w:val="00D64C99"/>
    <w:rsid w:val="00D76A30"/>
    <w:rsid w:val="00D77454"/>
    <w:rsid w:val="00D924AC"/>
    <w:rsid w:val="00D953D1"/>
    <w:rsid w:val="00DA23FF"/>
    <w:rsid w:val="00DA797A"/>
    <w:rsid w:val="00DB7E2B"/>
    <w:rsid w:val="00DC01B6"/>
    <w:rsid w:val="00DE1343"/>
    <w:rsid w:val="00E24CCC"/>
    <w:rsid w:val="00E43859"/>
    <w:rsid w:val="00E5001D"/>
    <w:rsid w:val="00E80411"/>
    <w:rsid w:val="00EA1FA6"/>
    <w:rsid w:val="00EC125D"/>
    <w:rsid w:val="00EE5689"/>
    <w:rsid w:val="00EF4161"/>
    <w:rsid w:val="00F03D50"/>
    <w:rsid w:val="00F1762E"/>
    <w:rsid w:val="00F20945"/>
    <w:rsid w:val="00F21D41"/>
    <w:rsid w:val="00F23ECE"/>
    <w:rsid w:val="00F514B9"/>
    <w:rsid w:val="00F60E59"/>
    <w:rsid w:val="00F744A0"/>
    <w:rsid w:val="00F75A40"/>
    <w:rsid w:val="00F766B0"/>
    <w:rsid w:val="00F84D5D"/>
    <w:rsid w:val="00F8721A"/>
    <w:rsid w:val="00FA0364"/>
    <w:rsid w:val="00FA6F6C"/>
    <w:rsid w:val="00FC3F3F"/>
    <w:rsid w:val="00FC69D4"/>
    <w:rsid w:val="00FD44A8"/>
    <w:rsid w:val="00FD6F88"/>
    <w:rsid w:val="00FE7B73"/>
    <w:rsid w:val="00FF1C48"/>
    <w:rsid w:val="00FF74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17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D41"/>
    <w:pPr>
      <w:widowControl w:val="0"/>
      <w:autoSpaceDE w:val="0"/>
      <w:autoSpaceDN w:val="0"/>
      <w:adjustRightInd w:val="0"/>
    </w:pPr>
    <w:rPr>
      <w:rFonts w:ascii="Garamond" w:hAnsi="Garamond" w:cs="Garamond"/>
      <w:color w:val="000000"/>
      <w:lang w:val="en-US"/>
    </w:rPr>
  </w:style>
  <w:style w:type="paragraph" w:styleId="BalloonText">
    <w:name w:val="Balloon Text"/>
    <w:basedOn w:val="Normal"/>
    <w:link w:val="BalloonTextChar"/>
    <w:uiPriority w:val="99"/>
    <w:semiHidden/>
    <w:unhideWhenUsed/>
    <w:rsid w:val="00FD4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4A8"/>
    <w:rPr>
      <w:rFonts w:ascii="Lucida Grande" w:hAnsi="Lucida Grande" w:cs="Lucida Grande"/>
      <w:sz w:val="18"/>
      <w:szCs w:val="18"/>
    </w:rPr>
  </w:style>
  <w:style w:type="paragraph" w:customStyle="1" w:styleId="CM25">
    <w:name w:val="CM25"/>
    <w:basedOn w:val="Default"/>
    <w:next w:val="Default"/>
    <w:uiPriority w:val="99"/>
    <w:rsid w:val="00042F8E"/>
    <w:rPr>
      <w:rFonts w:cs="Times New Roman"/>
      <w:color w:val="auto"/>
    </w:rPr>
  </w:style>
  <w:style w:type="paragraph" w:customStyle="1" w:styleId="CM5">
    <w:name w:val="CM5"/>
    <w:basedOn w:val="Default"/>
    <w:next w:val="Default"/>
    <w:uiPriority w:val="99"/>
    <w:rsid w:val="00042F8E"/>
    <w:pPr>
      <w:spacing w:line="240" w:lineRule="atLeast"/>
    </w:pPr>
    <w:rPr>
      <w:rFonts w:cs="Times New Roman"/>
      <w:color w:val="auto"/>
    </w:rPr>
  </w:style>
  <w:style w:type="paragraph" w:customStyle="1" w:styleId="CM7">
    <w:name w:val="CM7"/>
    <w:basedOn w:val="Default"/>
    <w:next w:val="Default"/>
    <w:uiPriority w:val="99"/>
    <w:rsid w:val="00042F8E"/>
    <w:rPr>
      <w:rFonts w:cs="Times New Roman"/>
      <w:color w:val="auto"/>
    </w:rPr>
  </w:style>
  <w:style w:type="paragraph" w:styleId="BodyText">
    <w:name w:val="Body Text"/>
    <w:basedOn w:val="Normal"/>
    <w:link w:val="BodyTextChar"/>
    <w:uiPriority w:val="99"/>
    <w:rsid w:val="00F8721A"/>
    <w:pPr>
      <w:suppressAutoHyphens/>
      <w:autoSpaceDE w:val="0"/>
      <w:autoSpaceDN w:val="0"/>
      <w:adjustRightInd w:val="0"/>
      <w:spacing w:before="120" w:line="260" w:lineRule="atLeast"/>
      <w:jc w:val="both"/>
      <w:textAlignment w:val="center"/>
    </w:pPr>
    <w:rPr>
      <w:rFonts w:ascii="Garamond" w:eastAsia="Times New Roman" w:hAnsi="Garamond" w:cs="Garamond-Light"/>
      <w:color w:val="000000"/>
      <w:sz w:val="22"/>
      <w:szCs w:val="22"/>
    </w:rPr>
  </w:style>
  <w:style w:type="character" w:customStyle="1" w:styleId="BodyTextChar">
    <w:name w:val="Body Text Char"/>
    <w:basedOn w:val="DefaultParagraphFont"/>
    <w:link w:val="BodyText"/>
    <w:uiPriority w:val="99"/>
    <w:rsid w:val="00F8721A"/>
    <w:rPr>
      <w:rFonts w:ascii="Garamond" w:eastAsia="Times New Roman" w:hAnsi="Garamond" w:cs="Garamond-Light"/>
      <w:color w:val="000000"/>
      <w:sz w:val="22"/>
      <w:szCs w:val="22"/>
    </w:rPr>
  </w:style>
  <w:style w:type="paragraph" w:styleId="FootnoteText">
    <w:name w:val="footnote text"/>
    <w:basedOn w:val="Normal"/>
    <w:link w:val="FootnoteTextChar"/>
    <w:uiPriority w:val="99"/>
    <w:unhideWhenUsed/>
    <w:rsid w:val="00B113E0"/>
    <w:rPr>
      <w:rFonts w:ascii="Cambria" w:eastAsia="MS Mincho" w:hAnsi="Cambria" w:cs="Times New Roman"/>
      <w:lang w:eastAsia="ja-JP"/>
    </w:rPr>
  </w:style>
  <w:style w:type="character" w:customStyle="1" w:styleId="FootnoteTextChar">
    <w:name w:val="Footnote Text Char"/>
    <w:basedOn w:val="DefaultParagraphFont"/>
    <w:link w:val="FootnoteText"/>
    <w:uiPriority w:val="99"/>
    <w:rsid w:val="00B113E0"/>
    <w:rPr>
      <w:rFonts w:ascii="Cambria" w:eastAsia="MS Mincho" w:hAnsi="Cambria" w:cs="Times New Roman"/>
      <w:lang w:eastAsia="ja-JP"/>
    </w:rPr>
  </w:style>
  <w:style w:type="character" w:styleId="FootnoteReference">
    <w:name w:val="footnote reference"/>
    <w:uiPriority w:val="99"/>
    <w:unhideWhenUsed/>
    <w:rsid w:val="00B113E0"/>
    <w:rPr>
      <w:rFonts w:cs="Times New Roman"/>
      <w:vertAlign w:val="superscript"/>
    </w:rPr>
  </w:style>
  <w:style w:type="paragraph" w:styleId="ListParagraph">
    <w:name w:val="List Paragraph"/>
    <w:basedOn w:val="Normal"/>
    <w:uiPriority w:val="34"/>
    <w:qFormat/>
    <w:rsid w:val="00B113E0"/>
    <w:pPr>
      <w:ind w:left="720"/>
      <w:contextualSpacing/>
    </w:pPr>
    <w:rPr>
      <w:rFonts w:ascii="Cambria" w:eastAsia="MS Mincho" w:hAnsi="Cambria" w:cs="Times New Roman"/>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D41"/>
    <w:pPr>
      <w:widowControl w:val="0"/>
      <w:autoSpaceDE w:val="0"/>
      <w:autoSpaceDN w:val="0"/>
      <w:adjustRightInd w:val="0"/>
    </w:pPr>
    <w:rPr>
      <w:rFonts w:ascii="Garamond" w:hAnsi="Garamond" w:cs="Garamond"/>
      <w:color w:val="000000"/>
      <w:lang w:val="en-US"/>
    </w:rPr>
  </w:style>
  <w:style w:type="paragraph" w:styleId="BalloonText">
    <w:name w:val="Balloon Text"/>
    <w:basedOn w:val="Normal"/>
    <w:link w:val="BalloonTextChar"/>
    <w:uiPriority w:val="99"/>
    <w:semiHidden/>
    <w:unhideWhenUsed/>
    <w:rsid w:val="00FD44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44A8"/>
    <w:rPr>
      <w:rFonts w:ascii="Lucida Grande" w:hAnsi="Lucida Grande" w:cs="Lucida Grande"/>
      <w:sz w:val="18"/>
      <w:szCs w:val="18"/>
    </w:rPr>
  </w:style>
  <w:style w:type="paragraph" w:customStyle="1" w:styleId="CM25">
    <w:name w:val="CM25"/>
    <w:basedOn w:val="Default"/>
    <w:next w:val="Default"/>
    <w:uiPriority w:val="99"/>
    <w:rsid w:val="00042F8E"/>
    <w:rPr>
      <w:rFonts w:cs="Times New Roman"/>
      <w:color w:val="auto"/>
    </w:rPr>
  </w:style>
  <w:style w:type="paragraph" w:customStyle="1" w:styleId="CM5">
    <w:name w:val="CM5"/>
    <w:basedOn w:val="Default"/>
    <w:next w:val="Default"/>
    <w:uiPriority w:val="99"/>
    <w:rsid w:val="00042F8E"/>
    <w:pPr>
      <w:spacing w:line="240" w:lineRule="atLeast"/>
    </w:pPr>
    <w:rPr>
      <w:rFonts w:cs="Times New Roman"/>
      <w:color w:val="auto"/>
    </w:rPr>
  </w:style>
  <w:style w:type="paragraph" w:customStyle="1" w:styleId="CM7">
    <w:name w:val="CM7"/>
    <w:basedOn w:val="Default"/>
    <w:next w:val="Default"/>
    <w:uiPriority w:val="99"/>
    <w:rsid w:val="00042F8E"/>
    <w:rPr>
      <w:rFonts w:cs="Times New Roman"/>
      <w:color w:val="auto"/>
    </w:rPr>
  </w:style>
  <w:style w:type="paragraph" w:styleId="BodyText">
    <w:name w:val="Body Text"/>
    <w:basedOn w:val="Normal"/>
    <w:link w:val="BodyTextChar"/>
    <w:uiPriority w:val="99"/>
    <w:rsid w:val="00F8721A"/>
    <w:pPr>
      <w:suppressAutoHyphens/>
      <w:autoSpaceDE w:val="0"/>
      <w:autoSpaceDN w:val="0"/>
      <w:adjustRightInd w:val="0"/>
      <w:spacing w:before="120" w:line="260" w:lineRule="atLeast"/>
      <w:jc w:val="both"/>
      <w:textAlignment w:val="center"/>
    </w:pPr>
    <w:rPr>
      <w:rFonts w:ascii="Garamond" w:eastAsia="Times New Roman" w:hAnsi="Garamond" w:cs="Garamond-Light"/>
      <w:color w:val="000000"/>
      <w:sz w:val="22"/>
      <w:szCs w:val="22"/>
    </w:rPr>
  </w:style>
  <w:style w:type="character" w:customStyle="1" w:styleId="BodyTextChar">
    <w:name w:val="Body Text Char"/>
    <w:basedOn w:val="DefaultParagraphFont"/>
    <w:link w:val="BodyText"/>
    <w:uiPriority w:val="99"/>
    <w:rsid w:val="00F8721A"/>
    <w:rPr>
      <w:rFonts w:ascii="Garamond" w:eastAsia="Times New Roman" w:hAnsi="Garamond" w:cs="Garamond-Light"/>
      <w:color w:val="000000"/>
      <w:sz w:val="22"/>
      <w:szCs w:val="22"/>
    </w:rPr>
  </w:style>
  <w:style w:type="paragraph" w:styleId="FootnoteText">
    <w:name w:val="footnote text"/>
    <w:basedOn w:val="Normal"/>
    <w:link w:val="FootnoteTextChar"/>
    <w:uiPriority w:val="99"/>
    <w:unhideWhenUsed/>
    <w:rsid w:val="00B113E0"/>
    <w:rPr>
      <w:rFonts w:ascii="Cambria" w:eastAsia="MS Mincho" w:hAnsi="Cambria" w:cs="Times New Roman"/>
      <w:lang w:eastAsia="ja-JP"/>
    </w:rPr>
  </w:style>
  <w:style w:type="character" w:customStyle="1" w:styleId="FootnoteTextChar">
    <w:name w:val="Footnote Text Char"/>
    <w:basedOn w:val="DefaultParagraphFont"/>
    <w:link w:val="FootnoteText"/>
    <w:uiPriority w:val="99"/>
    <w:rsid w:val="00B113E0"/>
    <w:rPr>
      <w:rFonts w:ascii="Cambria" w:eastAsia="MS Mincho" w:hAnsi="Cambria" w:cs="Times New Roman"/>
      <w:lang w:eastAsia="ja-JP"/>
    </w:rPr>
  </w:style>
  <w:style w:type="character" w:styleId="FootnoteReference">
    <w:name w:val="footnote reference"/>
    <w:uiPriority w:val="99"/>
    <w:unhideWhenUsed/>
    <w:rsid w:val="00B113E0"/>
    <w:rPr>
      <w:rFonts w:cs="Times New Roman"/>
      <w:vertAlign w:val="superscript"/>
    </w:rPr>
  </w:style>
  <w:style w:type="paragraph" w:styleId="ListParagraph">
    <w:name w:val="List Paragraph"/>
    <w:basedOn w:val="Normal"/>
    <w:uiPriority w:val="34"/>
    <w:qFormat/>
    <w:rsid w:val="00B113E0"/>
    <w:pPr>
      <w:ind w:left="720"/>
      <w:contextualSpacing/>
    </w:pPr>
    <w:rPr>
      <w:rFonts w:ascii="Cambria" w:eastAsia="MS Mincho" w:hAnsi="Cambria"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5715">
      <w:bodyDiv w:val="1"/>
      <w:marLeft w:val="0"/>
      <w:marRight w:val="0"/>
      <w:marTop w:val="0"/>
      <w:marBottom w:val="0"/>
      <w:divBdr>
        <w:top w:val="none" w:sz="0" w:space="0" w:color="auto"/>
        <w:left w:val="none" w:sz="0" w:space="0" w:color="auto"/>
        <w:bottom w:val="none" w:sz="0" w:space="0" w:color="auto"/>
        <w:right w:val="none" w:sz="0" w:space="0" w:color="auto"/>
      </w:divBdr>
      <w:divsChild>
        <w:div w:id="1613587616">
          <w:marLeft w:val="547"/>
          <w:marRight w:val="0"/>
          <w:marTop w:val="86"/>
          <w:marBottom w:val="0"/>
          <w:divBdr>
            <w:top w:val="none" w:sz="0" w:space="0" w:color="auto"/>
            <w:left w:val="none" w:sz="0" w:space="0" w:color="auto"/>
            <w:bottom w:val="none" w:sz="0" w:space="0" w:color="auto"/>
            <w:right w:val="none" w:sz="0" w:space="0" w:color="auto"/>
          </w:divBdr>
        </w:div>
        <w:div w:id="1045832054">
          <w:marLeft w:val="547"/>
          <w:marRight w:val="0"/>
          <w:marTop w:val="86"/>
          <w:marBottom w:val="0"/>
          <w:divBdr>
            <w:top w:val="none" w:sz="0" w:space="0" w:color="auto"/>
            <w:left w:val="none" w:sz="0" w:space="0" w:color="auto"/>
            <w:bottom w:val="none" w:sz="0" w:space="0" w:color="auto"/>
            <w:right w:val="none" w:sz="0" w:space="0" w:color="auto"/>
          </w:divBdr>
        </w:div>
        <w:div w:id="720518044">
          <w:marLeft w:val="547"/>
          <w:marRight w:val="0"/>
          <w:marTop w:val="86"/>
          <w:marBottom w:val="0"/>
          <w:divBdr>
            <w:top w:val="none" w:sz="0" w:space="0" w:color="auto"/>
            <w:left w:val="none" w:sz="0" w:space="0" w:color="auto"/>
            <w:bottom w:val="none" w:sz="0" w:space="0" w:color="auto"/>
            <w:right w:val="none" w:sz="0" w:space="0" w:color="auto"/>
          </w:divBdr>
        </w:div>
        <w:div w:id="1309240164">
          <w:marLeft w:val="547"/>
          <w:marRight w:val="0"/>
          <w:marTop w:val="86"/>
          <w:marBottom w:val="0"/>
          <w:divBdr>
            <w:top w:val="none" w:sz="0" w:space="0" w:color="auto"/>
            <w:left w:val="none" w:sz="0" w:space="0" w:color="auto"/>
            <w:bottom w:val="none" w:sz="0" w:space="0" w:color="auto"/>
            <w:right w:val="none" w:sz="0" w:space="0" w:color="auto"/>
          </w:divBdr>
        </w:div>
        <w:div w:id="1650673226">
          <w:marLeft w:val="547"/>
          <w:marRight w:val="0"/>
          <w:marTop w:val="86"/>
          <w:marBottom w:val="0"/>
          <w:divBdr>
            <w:top w:val="none" w:sz="0" w:space="0" w:color="auto"/>
            <w:left w:val="none" w:sz="0" w:space="0" w:color="auto"/>
            <w:bottom w:val="none" w:sz="0" w:space="0" w:color="auto"/>
            <w:right w:val="none" w:sz="0" w:space="0" w:color="auto"/>
          </w:divBdr>
        </w:div>
      </w:divsChild>
    </w:div>
    <w:div w:id="507140325">
      <w:bodyDiv w:val="1"/>
      <w:marLeft w:val="0"/>
      <w:marRight w:val="0"/>
      <w:marTop w:val="0"/>
      <w:marBottom w:val="0"/>
      <w:divBdr>
        <w:top w:val="none" w:sz="0" w:space="0" w:color="auto"/>
        <w:left w:val="none" w:sz="0" w:space="0" w:color="auto"/>
        <w:bottom w:val="none" w:sz="0" w:space="0" w:color="auto"/>
        <w:right w:val="none" w:sz="0" w:space="0" w:color="auto"/>
      </w:divBdr>
    </w:div>
    <w:div w:id="553926045">
      <w:bodyDiv w:val="1"/>
      <w:marLeft w:val="0"/>
      <w:marRight w:val="0"/>
      <w:marTop w:val="0"/>
      <w:marBottom w:val="0"/>
      <w:divBdr>
        <w:top w:val="none" w:sz="0" w:space="0" w:color="auto"/>
        <w:left w:val="none" w:sz="0" w:space="0" w:color="auto"/>
        <w:bottom w:val="none" w:sz="0" w:space="0" w:color="auto"/>
        <w:right w:val="none" w:sz="0" w:space="0" w:color="auto"/>
      </w:divBdr>
    </w:div>
    <w:div w:id="929850488">
      <w:bodyDiv w:val="1"/>
      <w:marLeft w:val="0"/>
      <w:marRight w:val="0"/>
      <w:marTop w:val="0"/>
      <w:marBottom w:val="0"/>
      <w:divBdr>
        <w:top w:val="none" w:sz="0" w:space="0" w:color="auto"/>
        <w:left w:val="none" w:sz="0" w:space="0" w:color="auto"/>
        <w:bottom w:val="none" w:sz="0" w:space="0" w:color="auto"/>
        <w:right w:val="none" w:sz="0" w:space="0" w:color="auto"/>
      </w:divBdr>
    </w:div>
    <w:div w:id="1009335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4829</Words>
  <Characters>27526</Characters>
  <Application>Microsoft Macintosh Word</Application>
  <DocSecurity>0</DocSecurity>
  <Lines>229</Lines>
  <Paragraphs>64</Paragraphs>
  <ScaleCrop>false</ScaleCrop>
  <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Moloney</dc:creator>
  <cp:keywords/>
  <dc:description/>
  <cp:lastModifiedBy>Lawrie Moloney</cp:lastModifiedBy>
  <cp:revision>2</cp:revision>
  <cp:lastPrinted>2015-12-22T03:15:00Z</cp:lastPrinted>
  <dcterms:created xsi:type="dcterms:W3CDTF">2015-12-22T05:54:00Z</dcterms:created>
  <dcterms:modified xsi:type="dcterms:W3CDTF">2015-12-22T05:54:00Z</dcterms:modified>
</cp:coreProperties>
</file>